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77514" w14:textId="77777777" w:rsidR="00726426" w:rsidRPr="009779E2" w:rsidRDefault="00705E4F" w:rsidP="009779E2">
      <w:pPr>
        <w:pStyle w:val="Heading1"/>
      </w:pPr>
      <w:r w:rsidRPr="009779E2">
        <w:t xml:space="preserve">Implementation of </w:t>
      </w:r>
      <w:r w:rsidR="00726426" w:rsidRPr="009779E2">
        <w:t xml:space="preserve">Maine’s Approved </w:t>
      </w:r>
    </w:p>
    <w:p w14:paraId="20570D92" w14:textId="283D64F9" w:rsidR="006124BA" w:rsidRPr="009779E2" w:rsidRDefault="00705E4F" w:rsidP="009779E2">
      <w:pPr>
        <w:pStyle w:val="Heading1"/>
      </w:pPr>
      <w:r w:rsidRPr="009779E2">
        <w:t xml:space="preserve">Clean Air Act Section 176A Petition </w:t>
      </w:r>
    </w:p>
    <w:p w14:paraId="46B06C03" w14:textId="77777777" w:rsidR="003D7132" w:rsidRPr="009779E2" w:rsidRDefault="003D7132" w:rsidP="009779E2">
      <w:pPr>
        <w:pStyle w:val="Heading1"/>
      </w:pPr>
      <w:r w:rsidRPr="009779E2">
        <w:t>Frequently Asked Questions</w:t>
      </w:r>
    </w:p>
    <w:p w14:paraId="792C7DFC" w14:textId="77777777" w:rsidR="00705E4F" w:rsidRPr="009779E2" w:rsidRDefault="00705E4F" w:rsidP="004A021B">
      <w:pPr>
        <w:jc w:val="both"/>
        <w:rPr>
          <w:rFonts w:ascii="Arial" w:hAnsi="Arial" w:cs="Arial"/>
          <w:b/>
          <w:u w:val="single"/>
        </w:rPr>
      </w:pPr>
    </w:p>
    <w:p w14:paraId="3AEA3704" w14:textId="77777777" w:rsidR="00EB2826" w:rsidRPr="009779E2" w:rsidRDefault="00EB2826" w:rsidP="009779E2">
      <w:pPr>
        <w:pStyle w:val="Heading2"/>
        <w:spacing w:after="240"/>
      </w:pPr>
      <w:r w:rsidRPr="009779E2">
        <w:t>What is the Ozone Transport Region?</w:t>
      </w:r>
    </w:p>
    <w:p w14:paraId="21AA1AA6" w14:textId="77777777" w:rsidR="00EB2826" w:rsidRPr="009779E2" w:rsidRDefault="00EB2826" w:rsidP="009779E2">
      <w:pPr>
        <w:spacing w:after="240"/>
        <w:jc w:val="both"/>
        <w:rPr>
          <w:rFonts w:ascii="Arial" w:hAnsi="Arial" w:cs="Arial"/>
        </w:rPr>
      </w:pPr>
      <w:r w:rsidRPr="009779E2">
        <w:rPr>
          <w:rFonts w:ascii="Arial" w:hAnsi="Arial" w:cs="Arial"/>
        </w:rPr>
        <w:t>The Ozone Transport Region (OTR) was established under Clean Air Act (CAA) Section 184. In accordance with State and Federal regulations, areas located within the OTR are subject to</w:t>
      </w:r>
      <w:r w:rsidR="009B4C56" w:rsidRPr="009779E2">
        <w:rPr>
          <w:rFonts w:ascii="Arial" w:hAnsi="Arial" w:cs="Arial"/>
        </w:rPr>
        <w:t xml:space="preserve"> more stringent control requirements for pollutants that form ozone, even if those areas meet the ozone standards. The specific pollutants of concern are nitrogen oxides (NO</w:t>
      </w:r>
      <w:r w:rsidR="009B4C56" w:rsidRPr="009779E2">
        <w:rPr>
          <w:rFonts w:ascii="Arial" w:hAnsi="Arial" w:cs="Arial"/>
          <w:vertAlign w:val="subscript"/>
        </w:rPr>
        <w:t>x</w:t>
      </w:r>
      <w:r w:rsidR="009B4C56" w:rsidRPr="009779E2">
        <w:rPr>
          <w:rFonts w:ascii="Arial" w:hAnsi="Arial" w:cs="Arial"/>
        </w:rPr>
        <w:t>) and volatile organic compounds (VOC).</w:t>
      </w:r>
    </w:p>
    <w:p w14:paraId="759758FF" w14:textId="77777777" w:rsidR="004A021B" w:rsidRPr="009779E2" w:rsidRDefault="00705E4F" w:rsidP="009779E2">
      <w:pPr>
        <w:pStyle w:val="Heading2"/>
        <w:spacing w:after="240"/>
      </w:pPr>
      <w:r w:rsidRPr="009779E2">
        <w:t xml:space="preserve">What is the </w:t>
      </w:r>
      <w:r w:rsidR="00162740" w:rsidRPr="009779E2">
        <w:t>Clean Air Act Section 176A Petition</w:t>
      </w:r>
      <w:r w:rsidRPr="009779E2">
        <w:t>?</w:t>
      </w:r>
    </w:p>
    <w:p w14:paraId="4EE83C3B" w14:textId="77777777" w:rsidR="00162740" w:rsidRPr="009779E2" w:rsidRDefault="00162740" w:rsidP="009779E2">
      <w:pPr>
        <w:spacing w:after="240"/>
        <w:jc w:val="both"/>
        <w:rPr>
          <w:rFonts w:ascii="Arial" w:hAnsi="Arial" w:cs="Arial"/>
          <w:bCs/>
        </w:rPr>
      </w:pPr>
      <w:r w:rsidRPr="009779E2">
        <w:rPr>
          <w:rFonts w:ascii="Arial" w:hAnsi="Arial" w:cs="Arial"/>
          <w:bCs/>
        </w:rPr>
        <w:t xml:space="preserve">In February 2020, the State of Maine requested a portion of the state be removed from the Ozone Transport Region (OTR). This request was submitted to the US Environmental Protection Agency (EPA) pursuant to the requirements </w:t>
      </w:r>
      <w:r w:rsidR="00EB2826" w:rsidRPr="009779E2">
        <w:rPr>
          <w:rFonts w:ascii="Arial" w:hAnsi="Arial" w:cs="Arial"/>
          <w:bCs/>
        </w:rPr>
        <w:t>CAA</w:t>
      </w:r>
      <w:r w:rsidRPr="009779E2">
        <w:rPr>
          <w:rFonts w:ascii="Arial" w:hAnsi="Arial" w:cs="Arial"/>
          <w:bCs/>
        </w:rPr>
        <w:t xml:space="preserve"> Section 176A(a)(2</w:t>
      </w:r>
      <w:r w:rsidR="00EB2826" w:rsidRPr="009779E2">
        <w:rPr>
          <w:rFonts w:ascii="Arial" w:hAnsi="Arial" w:cs="Arial"/>
          <w:bCs/>
        </w:rPr>
        <w:t>)</w:t>
      </w:r>
      <w:r w:rsidRPr="009779E2">
        <w:rPr>
          <w:rFonts w:ascii="Arial" w:hAnsi="Arial" w:cs="Arial"/>
          <w:bCs/>
        </w:rPr>
        <w:t>.</w:t>
      </w:r>
    </w:p>
    <w:p w14:paraId="57D04D5E" w14:textId="77777777" w:rsidR="00162740" w:rsidRPr="009779E2" w:rsidRDefault="00162740" w:rsidP="009779E2">
      <w:pPr>
        <w:spacing w:after="240"/>
        <w:jc w:val="both"/>
        <w:rPr>
          <w:rFonts w:ascii="Arial" w:hAnsi="Arial" w:cs="Arial"/>
          <w:bCs/>
        </w:rPr>
      </w:pPr>
      <w:r w:rsidRPr="009779E2">
        <w:rPr>
          <w:rFonts w:ascii="Arial" w:hAnsi="Arial" w:cs="Arial"/>
          <w:bCs/>
        </w:rPr>
        <w:t>On February 3, 2022, EPA granted the</w:t>
      </w:r>
      <w:r w:rsidR="008317F8" w:rsidRPr="009779E2">
        <w:rPr>
          <w:rFonts w:ascii="Arial" w:hAnsi="Arial" w:cs="Arial"/>
          <w:bCs/>
        </w:rPr>
        <w:t xml:space="preserve"> State’s</w:t>
      </w:r>
      <w:r w:rsidRPr="009779E2">
        <w:rPr>
          <w:rFonts w:ascii="Arial" w:hAnsi="Arial" w:cs="Arial"/>
          <w:bCs/>
        </w:rPr>
        <w:t xml:space="preserve"> petition. This approval was published in the Federal Register on </w:t>
      </w:r>
      <w:r w:rsidR="008401A7" w:rsidRPr="009779E2">
        <w:rPr>
          <w:rFonts w:ascii="Arial" w:hAnsi="Arial" w:cs="Arial"/>
          <w:bCs/>
        </w:rPr>
        <w:t>February 10, 2022,</w:t>
      </w:r>
      <w:r w:rsidRPr="009779E2">
        <w:rPr>
          <w:rFonts w:ascii="Arial" w:hAnsi="Arial" w:cs="Arial"/>
          <w:bCs/>
        </w:rPr>
        <w:t xml:space="preserve"> and becomes effective on </w:t>
      </w:r>
      <w:r w:rsidR="008401A7" w:rsidRPr="009779E2">
        <w:rPr>
          <w:rFonts w:ascii="Arial" w:hAnsi="Arial" w:cs="Arial"/>
          <w:bCs/>
        </w:rPr>
        <w:t>March 14, 2022</w:t>
      </w:r>
      <w:r w:rsidRPr="009779E2">
        <w:rPr>
          <w:rFonts w:ascii="Arial" w:hAnsi="Arial" w:cs="Arial"/>
          <w:bCs/>
        </w:rPr>
        <w:t>.</w:t>
      </w:r>
    </w:p>
    <w:p w14:paraId="22455ECD" w14:textId="77777777" w:rsidR="008317F8" w:rsidRPr="009779E2" w:rsidRDefault="008317F8" w:rsidP="009779E2">
      <w:pPr>
        <w:pStyle w:val="Heading2"/>
        <w:spacing w:after="240"/>
      </w:pPr>
      <w:r w:rsidRPr="009779E2">
        <w:t>What does EPA’s approval of the Section 176A Petition do or change?</w:t>
      </w:r>
    </w:p>
    <w:p w14:paraId="2CCCE7EB" w14:textId="77777777" w:rsidR="008317F8" w:rsidRPr="009779E2" w:rsidRDefault="008317F8" w:rsidP="009779E2">
      <w:pPr>
        <w:spacing w:after="240"/>
        <w:jc w:val="both"/>
        <w:rPr>
          <w:rFonts w:ascii="Arial" w:hAnsi="Arial" w:cs="Arial"/>
          <w:bCs/>
        </w:rPr>
      </w:pPr>
      <w:r w:rsidRPr="009779E2">
        <w:rPr>
          <w:rFonts w:ascii="Arial" w:hAnsi="Arial" w:cs="Arial"/>
          <w:bCs/>
        </w:rPr>
        <w:t xml:space="preserve">EPA’s approval of Maine’s Section 176A Petition removes all areas of the state from the OTR with the exception of 111 cities and towns. </w:t>
      </w:r>
    </w:p>
    <w:p w14:paraId="657B6EF7" w14:textId="77777777" w:rsidR="008317F8" w:rsidRPr="009779E2" w:rsidRDefault="00DC3F72" w:rsidP="009779E2">
      <w:pPr>
        <w:spacing w:after="240"/>
        <w:jc w:val="both"/>
        <w:rPr>
          <w:rFonts w:ascii="Arial" w:hAnsi="Arial" w:cs="Arial"/>
          <w:bCs/>
        </w:rPr>
      </w:pPr>
      <w:r w:rsidRPr="009779E2">
        <w:rPr>
          <w:rFonts w:ascii="Arial" w:hAnsi="Arial" w:cs="Arial"/>
          <w:bCs/>
        </w:rPr>
        <w:t>The Department’s</w:t>
      </w:r>
      <w:r w:rsidR="00DE59C4" w:rsidRPr="009779E2">
        <w:rPr>
          <w:rFonts w:ascii="Arial" w:hAnsi="Arial" w:cs="Arial"/>
          <w:bCs/>
        </w:rPr>
        <w:t xml:space="preserve"> rule</w:t>
      </w:r>
      <w:r w:rsidRPr="009779E2">
        <w:rPr>
          <w:rFonts w:ascii="Arial" w:hAnsi="Arial" w:cs="Arial"/>
          <w:bCs/>
        </w:rPr>
        <w:t xml:space="preserve"> </w:t>
      </w:r>
      <w:r w:rsidRPr="009779E2">
        <w:rPr>
          <w:rFonts w:ascii="Arial" w:hAnsi="Arial" w:cs="Arial"/>
          <w:bCs/>
          <w:i/>
          <w:iCs/>
        </w:rPr>
        <w:t>Definition Regulation</w:t>
      </w:r>
      <w:r w:rsidRPr="009779E2">
        <w:rPr>
          <w:rFonts w:ascii="Arial" w:hAnsi="Arial" w:cs="Arial"/>
          <w:bCs/>
        </w:rPr>
        <w:t>, 06-096 C.M.R. ch. 100, defines terms used in regulating air emission sources, including “major stationary source,” “major modification,” and “significant emissions.”</w:t>
      </w:r>
    </w:p>
    <w:p w14:paraId="48579E39" w14:textId="77777777" w:rsidR="00DC3F72" w:rsidRPr="009779E2" w:rsidRDefault="00DC3F72" w:rsidP="009779E2">
      <w:pPr>
        <w:spacing w:after="240"/>
        <w:jc w:val="both"/>
        <w:rPr>
          <w:rFonts w:ascii="Arial" w:hAnsi="Arial" w:cs="Arial"/>
          <w:bCs/>
        </w:rPr>
      </w:pPr>
      <w:r w:rsidRPr="009779E2">
        <w:rPr>
          <w:rFonts w:ascii="Arial" w:hAnsi="Arial" w:cs="Arial"/>
          <w:bCs/>
        </w:rPr>
        <w:t>These terms identify the major source threshold for VOC</w:t>
      </w:r>
      <w:r w:rsidR="00CE209C" w:rsidRPr="009779E2">
        <w:rPr>
          <w:rFonts w:ascii="Arial" w:hAnsi="Arial" w:cs="Arial"/>
          <w:bCs/>
        </w:rPr>
        <w:t xml:space="preserve"> as 50 ton/year for facilities located within the OTR and 100 ton/year for facilities not located </w:t>
      </w:r>
      <w:r w:rsidR="00DE59C4" w:rsidRPr="009779E2">
        <w:rPr>
          <w:rFonts w:ascii="Arial" w:hAnsi="Arial" w:cs="Arial"/>
          <w:bCs/>
        </w:rPr>
        <w:t>in</w:t>
      </w:r>
      <w:r w:rsidR="00CE209C" w:rsidRPr="009779E2">
        <w:rPr>
          <w:rFonts w:ascii="Arial" w:hAnsi="Arial" w:cs="Arial"/>
          <w:bCs/>
        </w:rPr>
        <w:t xml:space="preserve"> the OTR. Therefore, approval of the Section 176A Petition will increase the VOC major source threshold in areas of the state removed from the OTR from 50 ton/year to 100 ton/year. There is no impact on the major source threshold for any other regulated pollutant.</w:t>
      </w:r>
    </w:p>
    <w:p w14:paraId="7ABD8AB9" w14:textId="77777777" w:rsidR="00DC3F72" w:rsidRPr="009779E2" w:rsidRDefault="00DE59C4" w:rsidP="009779E2">
      <w:pPr>
        <w:spacing w:after="240"/>
        <w:jc w:val="both"/>
        <w:rPr>
          <w:rFonts w:ascii="Arial" w:hAnsi="Arial" w:cs="Arial"/>
          <w:bCs/>
        </w:rPr>
      </w:pPr>
      <w:r w:rsidRPr="009779E2">
        <w:rPr>
          <w:rFonts w:ascii="Arial" w:hAnsi="Arial" w:cs="Arial"/>
          <w:bCs/>
        </w:rPr>
        <w:t xml:space="preserve">The Department’s rules </w:t>
      </w:r>
      <w:r w:rsidRPr="009779E2">
        <w:rPr>
          <w:rFonts w:ascii="Arial" w:hAnsi="Arial" w:cs="Arial"/>
          <w:bCs/>
          <w:i/>
          <w:iCs/>
        </w:rPr>
        <w:t>Major and Minor Source Air Emission License Regulation</w:t>
      </w:r>
      <w:r w:rsidRPr="009779E2">
        <w:rPr>
          <w:rFonts w:ascii="Arial" w:hAnsi="Arial" w:cs="Arial"/>
          <w:bCs/>
        </w:rPr>
        <w:t>, 06</w:t>
      </w:r>
      <w:r w:rsidRPr="009779E2">
        <w:rPr>
          <w:rFonts w:ascii="Arial" w:hAnsi="Arial" w:cs="Arial"/>
          <w:bCs/>
        </w:rPr>
        <w:noBreakHyphen/>
        <w:t xml:space="preserve">096 C.M.R. ch. 115, and </w:t>
      </w:r>
      <w:r w:rsidRPr="009779E2">
        <w:rPr>
          <w:rFonts w:ascii="Arial" w:hAnsi="Arial" w:cs="Arial"/>
          <w:bCs/>
          <w:i/>
          <w:iCs/>
        </w:rPr>
        <w:t>Growth Offset Regulation</w:t>
      </w:r>
      <w:r w:rsidRPr="009779E2">
        <w:rPr>
          <w:rFonts w:ascii="Arial" w:hAnsi="Arial" w:cs="Arial"/>
          <w:bCs/>
        </w:rPr>
        <w:t xml:space="preserve">, 06-096 C.M.R. ch. 113, contain more stringent licensing requirements for facilities located in the OTR when applying for a new major source or major modification as part of New Source Review (NSR) licensing. As described in more detail below, these more stringent </w:t>
      </w:r>
      <w:r w:rsidRPr="009779E2">
        <w:rPr>
          <w:rFonts w:ascii="Arial" w:hAnsi="Arial" w:cs="Arial"/>
          <w:bCs/>
        </w:rPr>
        <w:lastRenderedPageBreak/>
        <w:t>requirements will no longer apply to facilities located in areas that have been removed from the OTR.</w:t>
      </w:r>
    </w:p>
    <w:p w14:paraId="44A74435" w14:textId="0607EBB6" w:rsidR="009B4C56" w:rsidRPr="009779E2" w:rsidRDefault="009B4C56" w:rsidP="009779E2">
      <w:pPr>
        <w:pStyle w:val="Heading2"/>
        <w:spacing w:after="240"/>
      </w:pPr>
      <w:r w:rsidRPr="009779E2">
        <w:t>What areas of the state will remain part of the OTR?</w:t>
      </w:r>
    </w:p>
    <w:p w14:paraId="2748B8E7" w14:textId="77777777" w:rsidR="009B4C56" w:rsidRPr="009779E2" w:rsidRDefault="009B4C56" w:rsidP="009779E2">
      <w:pPr>
        <w:spacing w:after="240"/>
        <w:jc w:val="both"/>
        <w:rPr>
          <w:rFonts w:ascii="Arial" w:hAnsi="Arial" w:cs="Arial"/>
          <w:bCs/>
        </w:rPr>
      </w:pPr>
      <w:r w:rsidRPr="009779E2">
        <w:rPr>
          <w:rFonts w:ascii="Arial" w:hAnsi="Arial" w:cs="Arial"/>
          <w:bCs/>
        </w:rPr>
        <w:t xml:space="preserve">The cities and towns listed in the following table will remain part of the OTR. All other areas of the State of Maine </w:t>
      </w:r>
      <w:r w:rsidR="008317F8" w:rsidRPr="009779E2">
        <w:rPr>
          <w:rFonts w:ascii="Arial" w:hAnsi="Arial" w:cs="Arial"/>
          <w:bCs/>
        </w:rPr>
        <w:t>have been removed from the OTR.</w:t>
      </w:r>
    </w:p>
    <w:p w14:paraId="546A9506" w14:textId="77777777" w:rsidR="008317F8" w:rsidRDefault="008317F8" w:rsidP="009779E2">
      <w:pPr>
        <w:pStyle w:val="Heading2"/>
        <w:spacing w:after="240"/>
      </w:pPr>
      <w:bookmarkStart w:id="0" w:name="_Hlk20411422"/>
      <w:r w:rsidRPr="009779E2">
        <w:t>Maine Towns and Cities Remaining in the Ozone Transport Region</w:t>
      </w:r>
    </w:p>
    <w:p w14:paraId="683DB965" w14:textId="79C5261B" w:rsidR="009779E2" w:rsidRDefault="009779E2" w:rsidP="009779E2">
      <w:pPr>
        <w:spacing w:after="240"/>
      </w:pPr>
      <w:r w:rsidRPr="009779E2">
        <w:rPr>
          <w:rFonts w:ascii="Arial" w:hAnsi="Arial" w:cs="Arial"/>
          <w:b/>
        </w:rPr>
        <w:t xml:space="preserve">Androscoggin County (includes only the following town): </w:t>
      </w:r>
      <w:r w:rsidRPr="009779E2">
        <w:rPr>
          <w:rFonts w:ascii="Arial" w:hAnsi="Arial" w:cs="Arial"/>
        </w:rPr>
        <w:t>Durham</w:t>
      </w:r>
    </w:p>
    <w:p w14:paraId="2342F00D" w14:textId="1F24960D" w:rsidR="009779E2" w:rsidRDefault="009779E2" w:rsidP="009779E2">
      <w:pPr>
        <w:spacing w:after="240"/>
      </w:pPr>
      <w:r w:rsidRPr="009779E2">
        <w:rPr>
          <w:rFonts w:ascii="Arial" w:hAnsi="Arial" w:cs="Arial"/>
          <w:b/>
        </w:rPr>
        <w:t>Cumberland County (includes only the following towns and cities):</w:t>
      </w:r>
      <w:r>
        <w:rPr>
          <w:rFonts w:ascii="Arial" w:hAnsi="Arial" w:cs="Arial"/>
          <w:b/>
        </w:rPr>
        <w:t xml:space="preserve"> </w:t>
      </w:r>
      <w:r w:rsidRPr="009779E2">
        <w:rPr>
          <w:rFonts w:ascii="Arial" w:hAnsi="Arial" w:cs="Arial"/>
        </w:rPr>
        <w:t>Brunswick, Cape Elizabeth, Casco, Cumberland, Falmouth, Freeport, Frye Island, Gorham, Gray, Harpswell, Long Island, New Gloucester, North Yarmouth, Portland, Pownal, Raymond, Scarborough, South Portland, Standish, Westbrook, Windham, and Yarmouth</w:t>
      </w:r>
    </w:p>
    <w:p w14:paraId="67A1A968" w14:textId="23AD029C" w:rsidR="009779E2" w:rsidRDefault="009779E2" w:rsidP="009779E2">
      <w:pPr>
        <w:spacing w:after="240"/>
      </w:pPr>
      <w:r w:rsidRPr="009779E2">
        <w:rPr>
          <w:rFonts w:ascii="Arial" w:hAnsi="Arial" w:cs="Arial"/>
          <w:b/>
        </w:rPr>
        <w:t>Hancock County (includes only the following towns and cities):</w:t>
      </w:r>
      <w:r>
        <w:rPr>
          <w:rFonts w:ascii="Arial" w:hAnsi="Arial" w:cs="Arial"/>
          <w:b/>
        </w:rPr>
        <w:t xml:space="preserve"> </w:t>
      </w:r>
      <w:r w:rsidRPr="009779E2">
        <w:rPr>
          <w:rFonts w:ascii="Arial" w:hAnsi="Arial" w:cs="Arial"/>
        </w:rPr>
        <w:t>Bar Harbor, Blue Hill, Brooklin, Brooksville, Cranberry Isles, Deer Isle, Frenchboro, Gouldsboro, Hancock, Lamoine, Mount Desert, Sedgwick, Sorrento, Southwest Harbor, Stonington, Sullivan, Surry, Swans Island, Tremont, Trenton, and Winter Harbor</w:t>
      </w:r>
    </w:p>
    <w:p w14:paraId="40029389" w14:textId="0DBB5660" w:rsidR="009779E2" w:rsidRDefault="009779E2" w:rsidP="009779E2">
      <w:pPr>
        <w:spacing w:after="240"/>
      </w:pPr>
      <w:r w:rsidRPr="009779E2">
        <w:rPr>
          <w:rFonts w:ascii="Arial" w:hAnsi="Arial" w:cs="Arial"/>
          <w:b/>
        </w:rPr>
        <w:t>Knox County (includes only the following towns and cities):</w:t>
      </w:r>
      <w:r>
        <w:rPr>
          <w:rFonts w:ascii="Arial" w:hAnsi="Arial" w:cs="Arial"/>
          <w:b/>
        </w:rPr>
        <w:t xml:space="preserve"> </w:t>
      </w:r>
      <w:r w:rsidRPr="009779E2">
        <w:rPr>
          <w:rFonts w:ascii="Arial" w:hAnsi="Arial" w:cs="Arial"/>
        </w:rPr>
        <w:t>Camden, Criehaven, Cushing, Friendship, Isle au Haut, Matinicus Isle, Muscle Ridge Shoals, North Haven, Owls Head, Rockland, Rockport, St. George, South Thomaston, Thomaston, Vinalhaven, and Warren</w:t>
      </w:r>
    </w:p>
    <w:p w14:paraId="2DE9E96C" w14:textId="3C257736" w:rsidR="009779E2" w:rsidRDefault="009779E2" w:rsidP="009779E2">
      <w:pPr>
        <w:spacing w:after="240"/>
      </w:pPr>
      <w:r w:rsidRPr="009779E2">
        <w:rPr>
          <w:rFonts w:ascii="Arial" w:hAnsi="Arial" w:cs="Arial"/>
          <w:b/>
        </w:rPr>
        <w:t>Lincoln County (includes only the following towns and cities):</w:t>
      </w:r>
      <w:r>
        <w:rPr>
          <w:rFonts w:ascii="Arial" w:hAnsi="Arial" w:cs="Arial"/>
          <w:b/>
        </w:rPr>
        <w:t xml:space="preserve"> </w:t>
      </w:r>
      <w:r w:rsidRPr="009779E2">
        <w:rPr>
          <w:rFonts w:ascii="Arial" w:hAnsi="Arial" w:cs="Arial"/>
        </w:rPr>
        <w:t>Alna, Boothbay, Boothbay Harbor, Breman, Bristol, Damariscotta, Dresden, Edgecomb, Monhegan, Newcastle, Nobleboro, South Bristol, Southport, Waldoboro, Westport, and Wiscasset</w:t>
      </w:r>
    </w:p>
    <w:p w14:paraId="0EBCD1E8" w14:textId="77777777" w:rsidR="009779E2" w:rsidRPr="009779E2" w:rsidRDefault="009779E2" w:rsidP="009779E2">
      <w:pPr>
        <w:spacing w:after="240"/>
        <w:rPr>
          <w:rFonts w:ascii="Arial" w:hAnsi="Arial" w:cs="Arial"/>
          <w:b/>
        </w:rPr>
      </w:pPr>
      <w:r w:rsidRPr="009779E2">
        <w:rPr>
          <w:rFonts w:ascii="Arial" w:hAnsi="Arial" w:cs="Arial"/>
          <w:b/>
        </w:rPr>
        <w:t xml:space="preserve">Sagadahoc County (includes all towns and cities)  </w:t>
      </w:r>
    </w:p>
    <w:p w14:paraId="05C3D3A8" w14:textId="357DFBF1" w:rsidR="009779E2" w:rsidRDefault="009779E2" w:rsidP="009779E2">
      <w:pPr>
        <w:spacing w:after="240"/>
        <w:rPr>
          <w:rFonts w:ascii="Arial" w:hAnsi="Arial" w:cs="Arial"/>
        </w:rPr>
      </w:pPr>
      <w:r w:rsidRPr="009779E2">
        <w:rPr>
          <w:rFonts w:ascii="Arial" w:hAnsi="Arial" w:cs="Arial"/>
          <w:b/>
        </w:rPr>
        <w:t>Waldo County (includes only the following town):</w:t>
      </w:r>
      <w:r>
        <w:rPr>
          <w:rFonts w:ascii="Arial" w:hAnsi="Arial" w:cs="Arial"/>
          <w:b/>
        </w:rPr>
        <w:t xml:space="preserve"> </w:t>
      </w:r>
      <w:r w:rsidRPr="009779E2">
        <w:rPr>
          <w:rFonts w:ascii="Arial" w:hAnsi="Arial" w:cs="Arial"/>
        </w:rPr>
        <w:t>Islesboro</w:t>
      </w:r>
    </w:p>
    <w:p w14:paraId="35088CE2" w14:textId="4F88C757" w:rsidR="009779E2" w:rsidRDefault="009779E2" w:rsidP="009779E2">
      <w:pPr>
        <w:spacing w:after="240"/>
      </w:pPr>
      <w:r w:rsidRPr="009779E2">
        <w:rPr>
          <w:rFonts w:ascii="Arial" w:hAnsi="Arial" w:cs="Arial"/>
          <w:b/>
        </w:rPr>
        <w:t>York County (includes only the following towns and cities):</w:t>
      </w:r>
      <w:r>
        <w:rPr>
          <w:rFonts w:ascii="Arial" w:hAnsi="Arial" w:cs="Arial"/>
          <w:b/>
        </w:rPr>
        <w:t xml:space="preserve"> </w:t>
      </w:r>
      <w:r w:rsidRPr="009779E2">
        <w:rPr>
          <w:rFonts w:ascii="Arial" w:hAnsi="Arial" w:cs="Arial"/>
        </w:rPr>
        <w:t>Alfred, Arundel, Berwick, Biddeford, Buxton, Dayton, Eliot, Hollis, Kennebunk, Kennebunkport, Kittery, Limington, Lyman, North Berwick, Ogunquit, Old Orchard Beach, Saco, Sanford, South Berwick, Wells, and York</w:t>
      </w:r>
    </w:p>
    <w:bookmarkEnd w:id="0"/>
    <w:p w14:paraId="0ED33761" w14:textId="77777777" w:rsidR="009779E2" w:rsidRDefault="009779E2">
      <w:pPr>
        <w:rPr>
          <w:rFonts w:ascii="Arial" w:hAnsi="Arial" w:cs="Arial"/>
          <w:b/>
          <w:bCs/>
          <w:u w:val="single"/>
        </w:rPr>
      </w:pPr>
      <w:r>
        <w:br w:type="page"/>
      </w:r>
    </w:p>
    <w:p w14:paraId="6DF649C6" w14:textId="6C8A4057" w:rsidR="009B4C56" w:rsidRPr="009779E2" w:rsidRDefault="009B4C56" w:rsidP="009779E2">
      <w:pPr>
        <w:pStyle w:val="Heading2"/>
        <w:spacing w:after="240"/>
      </w:pPr>
      <w:r w:rsidRPr="009779E2">
        <w:lastRenderedPageBreak/>
        <w:t>My facility is located</w:t>
      </w:r>
      <w:r w:rsidR="00194E19" w:rsidRPr="009779E2">
        <w:t xml:space="preserve"> (or I wish to build a new facility)</w:t>
      </w:r>
      <w:r w:rsidRPr="009779E2">
        <w:t xml:space="preserve"> in an area that will remain part of the OTR. What will change for my facility?</w:t>
      </w:r>
    </w:p>
    <w:p w14:paraId="3061B4D6" w14:textId="66AD7BE4" w:rsidR="00726426" w:rsidRPr="009779E2" w:rsidRDefault="00726426" w:rsidP="009779E2">
      <w:pPr>
        <w:spacing w:after="240"/>
        <w:jc w:val="both"/>
        <w:rPr>
          <w:rFonts w:ascii="Arial" w:hAnsi="Arial" w:cs="Arial"/>
          <w:bCs/>
        </w:rPr>
      </w:pPr>
      <w:r w:rsidRPr="009779E2">
        <w:rPr>
          <w:rFonts w:ascii="Arial" w:hAnsi="Arial" w:cs="Arial"/>
          <w:bCs/>
        </w:rPr>
        <w:t xml:space="preserve">If your facility is located in one of the cities or towns listed in the table above, the approval of Maine’s Section 176A Petition makes no changes to your existing air emission license and makes no changes to future application requirements. </w:t>
      </w:r>
    </w:p>
    <w:p w14:paraId="11CCC391" w14:textId="77777777" w:rsidR="009B4C56" w:rsidRPr="009779E2" w:rsidRDefault="009B4C56" w:rsidP="009779E2">
      <w:pPr>
        <w:pStyle w:val="Heading2"/>
        <w:spacing w:after="240"/>
      </w:pPr>
      <w:r w:rsidRPr="009779E2">
        <w:t>My facility is located</w:t>
      </w:r>
      <w:r w:rsidR="00194E19" w:rsidRPr="009779E2">
        <w:t xml:space="preserve"> (or I wish to build a new facility)</w:t>
      </w:r>
      <w:r w:rsidRPr="009779E2">
        <w:t xml:space="preserve"> in an area that has been removed from the OTR. What will change for my facility?</w:t>
      </w:r>
    </w:p>
    <w:p w14:paraId="15FDA010" w14:textId="77777777" w:rsidR="00726426" w:rsidRPr="009779E2" w:rsidRDefault="00726426" w:rsidP="009779E2">
      <w:pPr>
        <w:spacing w:after="240"/>
        <w:jc w:val="both"/>
        <w:rPr>
          <w:rFonts w:ascii="Arial" w:hAnsi="Arial" w:cs="Arial"/>
          <w:bCs/>
        </w:rPr>
      </w:pPr>
      <w:r w:rsidRPr="009779E2">
        <w:rPr>
          <w:rFonts w:ascii="Arial" w:hAnsi="Arial" w:cs="Arial"/>
          <w:bCs/>
        </w:rPr>
        <w:t xml:space="preserve">If your facility is </w:t>
      </w:r>
      <w:r w:rsidRPr="009779E2">
        <w:rPr>
          <w:rFonts w:ascii="Arial" w:hAnsi="Arial" w:cs="Arial"/>
          <w:bCs/>
          <w:u w:val="single"/>
        </w:rPr>
        <w:t>not</w:t>
      </w:r>
      <w:r w:rsidRPr="009779E2">
        <w:rPr>
          <w:rFonts w:ascii="Arial" w:hAnsi="Arial" w:cs="Arial"/>
          <w:bCs/>
        </w:rPr>
        <w:t xml:space="preserve"> located in one of the cities or towns listed in the table above, the approval of Maine’s Section 176A Petition makes no changes to your </w:t>
      </w:r>
      <w:r w:rsidRPr="009779E2">
        <w:rPr>
          <w:rFonts w:ascii="Arial" w:hAnsi="Arial" w:cs="Arial"/>
          <w:bCs/>
          <w:u w:val="single"/>
        </w:rPr>
        <w:t>existing</w:t>
      </w:r>
      <w:r w:rsidRPr="009779E2">
        <w:rPr>
          <w:rFonts w:ascii="Arial" w:hAnsi="Arial" w:cs="Arial"/>
          <w:bCs/>
        </w:rPr>
        <w:t xml:space="preserve"> air emission license. However, NSR license application requirements for new major sources or major modifications will be different.     </w:t>
      </w:r>
    </w:p>
    <w:p w14:paraId="29639D08" w14:textId="77777777" w:rsidR="00BD539D" w:rsidRPr="009779E2" w:rsidRDefault="00194E19" w:rsidP="009779E2">
      <w:pPr>
        <w:pStyle w:val="ListParagraph"/>
        <w:numPr>
          <w:ilvl w:val="0"/>
          <w:numId w:val="36"/>
        </w:numPr>
        <w:spacing w:after="240"/>
        <w:rPr>
          <w:rFonts w:ascii="Arial" w:hAnsi="Arial" w:cs="Arial"/>
          <w:sz w:val="24"/>
          <w:szCs w:val="24"/>
        </w:rPr>
      </w:pPr>
      <w:r w:rsidRPr="009779E2">
        <w:rPr>
          <w:rFonts w:ascii="Arial" w:hAnsi="Arial" w:cs="Arial"/>
          <w:sz w:val="24"/>
          <w:szCs w:val="24"/>
        </w:rPr>
        <w:t xml:space="preserve">These application types (new major sources and major modifications) will no longer be required to obtain offsets, i.e., the need to purchase emission reduction credits from an upwind area to “offset” emissions increases; and </w:t>
      </w:r>
    </w:p>
    <w:p w14:paraId="6D8C070F" w14:textId="77777777" w:rsidR="00194E19" w:rsidRPr="009779E2" w:rsidRDefault="00194E19" w:rsidP="009779E2">
      <w:pPr>
        <w:pStyle w:val="ListParagraph"/>
        <w:numPr>
          <w:ilvl w:val="0"/>
          <w:numId w:val="36"/>
        </w:numPr>
        <w:spacing w:after="240"/>
        <w:rPr>
          <w:rFonts w:ascii="Arial" w:hAnsi="Arial" w:cs="Arial"/>
          <w:sz w:val="24"/>
          <w:szCs w:val="24"/>
        </w:rPr>
      </w:pPr>
      <w:r w:rsidRPr="009779E2">
        <w:rPr>
          <w:rFonts w:ascii="Arial" w:hAnsi="Arial" w:cs="Arial"/>
          <w:sz w:val="24"/>
          <w:szCs w:val="24"/>
        </w:rPr>
        <w:t>Cost-effectiveness criteria can be considered when evaluating appropriate emission controls i.e., facilities may submit a Best Available Control Technology (BACT) analysis instead of a Lowest Achievable Emission Rate (LAER) analysis for major emissions or major increases in emissions of NO</w:t>
      </w:r>
      <w:r w:rsidRPr="009779E2">
        <w:rPr>
          <w:rFonts w:ascii="Arial" w:hAnsi="Arial" w:cs="Arial"/>
          <w:sz w:val="24"/>
          <w:szCs w:val="24"/>
          <w:vertAlign w:val="subscript"/>
        </w:rPr>
        <w:t>x</w:t>
      </w:r>
      <w:r w:rsidRPr="009779E2">
        <w:rPr>
          <w:rFonts w:ascii="Arial" w:hAnsi="Arial" w:cs="Arial"/>
          <w:sz w:val="24"/>
          <w:szCs w:val="24"/>
        </w:rPr>
        <w:t xml:space="preserve"> and VOC).</w:t>
      </w:r>
    </w:p>
    <w:p w14:paraId="4B77906B" w14:textId="77777777" w:rsidR="009B4C56" w:rsidRPr="009779E2" w:rsidRDefault="009B4C56" w:rsidP="009779E2">
      <w:pPr>
        <w:pStyle w:val="Heading2"/>
        <w:spacing w:after="240"/>
      </w:pPr>
      <w:r w:rsidRPr="009779E2">
        <w:t>My facility is a major source located in an area that has been removed from the OTR. Can my facility be considered a minor source?</w:t>
      </w:r>
    </w:p>
    <w:p w14:paraId="3539D817" w14:textId="77777777" w:rsidR="00BD539D" w:rsidRPr="009779E2" w:rsidRDefault="00BD539D" w:rsidP="009779E2">
      <w:pPr>
        <w:spacing w:after="240"/>
        <w:jc w:val="both"/>
        <w:rPr>
          <w:rFonts w:ascii="Arial" w:hAnsi="Arial" w:cs="Arial"/>
          <w:bCs/>
        </w:rPr>
      </w:pPr>
      <w:r w:rsidRPr="009779E2">
        <w:rPr>
          <w:rFonts w:ascii="Arial" w:hAnsi="Arial" w:cs="Arial"/>
          <w:bCs/>
        </w:rPr>
        <w:t xml:space="preserve">Your facility may be eligible to become a minor source if </w:t>
      </w:r>
      <w:r w:rsidRPr="009779E2">
        <w:rPr>
          <w:rFonts w:ascii="Arial" w:hAnsi="Arial" w:cs="Arial"/>
          <w:bCs/>
          <w:u w:val="single"/>
        </w:rPr>
        <w:t>all</w:t>
      </w:r>
      <w:r w:rsidRPr="009779E2">
        <w:rPr>
          <w:rFonts w:ascii="Arial" w:hAnsi="Arial" w:cs="Arial"/>
          <w:bCs/>
        </w:rPr>
        <w:t xml:space="preserve"> of the following criteria are met:</w:t>
      </w:r>
    </w:p>
    <w:p w14:paraId="01C5E85E" w14:textId="77777777" w:rsidR="00BD539D" w:rsidRPr="009779E2" w:rsidRDefault="00BD539D" w:rsidP="009779E2">
      <w:pPr>
        <w:numPr>
          <w:ilvl w:val="0"/>
          <w:numId w:val="37"/>
        </w:numPr>
        <w:jc w:val="both"/>
        <w:rPr>
          <w:rFonts w:ascii="Arial" w:hAnsi="Arial" w:cs="Arial"/>
          <w:bCs/>
        </w:rPr>
      </w:pPr>
      <w:r w:rsidRPr="009779E2">
        <w:rPr>
          <w:rFonts w:ascii="Arial" w:hAnsi="Arial" w:cs="Arial"/>
          <w:bCs/>
        </w:rPr>
        <w:t>Your facility is located in an area of the state which is no longer part of the OTR;</w:t>
      </w:r>
    </w:p>
    <w:p w14:paraId="207007F6" w14:textId="77777777" w:rsidR="00BD539D" w:rsidRPr="009779E2" w:rsidRDefault="00BD539D" w:rsidP="009779E2">
      <w:pPr>
        <w:numPr>
          <w:ilvl w:val="0"/>
          <w:numId w:val="37"/>
        </w:numPr>
        <w:jc w:val="both"/>
        <w:rPr>
          <w:rFonts w:ascii="Arial" w:hAnsi="Arial" w:cs="Arial"/>
          <w:bCs/>
        </w:rPr>
      </w:pPr>
      <w:r w:rsidRPr="009779E2">
        <w:rPr>
          <w:rFonts w:ascii="Arial" w:hAnsi="Arial" w:cs="Arial"/>
          <w:bCs/>
        </w:rPr>
        <w:t>Licensed emissions for all criteria pollutants, including VOC, are less than 100 ton/year each; and</w:t>
      </w:r>
    </w:p>
    <w:p w14:paraId="04EE297C" w14:textId="77777777" w:rsidR="00BD539D" w:rsidRPr="009779E2" w:rsidRDefault="00BD539D" w:rsidP="009779E2">
      <w:pPr>
        <w:numPr>
          <w:ilvl w:val="0"/>
          <w:numId w:val="37"/>
        </w:numPr>
        <w:spacing w:after="240"/>
        <w:jc w:val="both"/>
        <w:rPr>
          <w:rFonts w:ascii="Arial" w:hAnsi="Arial" w:cs="Arial"/>
          <w:bCs/>
        </w:rPr>
      </w:pPr>
      <w:r w:rsidRPr="009779E2">
        <w:rPr>
          <w:rFonts w:ascii="Arial" w:hAnsi="Arial" w:cs="Arial"/>
          <w:bCs/>
        </w:rPr>
        <w:t xml:space="preserve">Licensed emissions of hazardous air pollutants (HAP) are less than 10 ton/year for any single HAP and less than 25 ton/year for all HAP combined. </w:t>
      </w:r>
    </w:p>
    <w:p w14:paraId="6700A1DD" w14:textId="77777777" w:rsidR="00BD539D" w:rsidRPr="009779E2" w:rsidRDefault="00BD539D" w:rsidP="009779E2">
      <w:pPr>
        <w:spacing w:after="240"/>
        <w:jc w:val="both"/>
        <w:rPr>
          <w:rFonts w:ascii="Arial" w:hAnsi="Arial" w:cs="Arial"/>
          <w:bCs/>
        </w:rPr>
      </w:pPr>
      <w:r w:rsidRPr="009779E2">
        <w:rPr>
          <w:rFonts w:ascii="Arial" w:hAnsi="Arial" w:cs="Arial"/>
          <w:bCs/>
        </w:rPr>
        <w:t>The change in facility classification is not automatic</w:t>
      </w:r>
      <w:r w:rsidR="00826454" w:rsidRPr="009779E2">
        <w:rPr>
          <w:rFonts w:ascii="Arial" w:hAnsi="Arial" w:cs="Arial"/>
          <w:bCs/>
        </w:rPr>
        <w:t>,</w:t>
      </w:r>
      <w:r w:rsidRPr="009779E2">
        <w:rPr>
          <w:rFonts w:ascii="Arial" w:hAnsi="Arial" w:cs="Arial"/>
          <w:bCs/>
        </w:rPr>
        <w:t xml:space="preserve"> and you must continue to comply with your Part 70 (Title V) license until a license revision is processed. Please contact your Air Licensing project manager or Jane Gilbert for further information. </w:t>
      </w:r>
    </w:p>
    <w:p w14:paraId="080481C6" w14:textId="77777777" w:rsidR="009779E2" w:rsidRDefault="009779E2">
      <w:pPr>
        <w:rPr>
          <w:rFonts w:ascii="Arial" w:hAnsi="Arial" w:cs="Arial"/>
          <w:b/>
          <w:bCs/>
          <w:u w:val="single"/>
        </w:rPr>
      </w:pPr>
      <w:r>
        <w:br w:type="page"/>
      </w:r>
    </w:p>
    <w:p w14:paraId="45CA3D73" w14:textId="74B9692B" w:rsidR="003D7132" w:rsidRPr="009779E2" w:rsidRDefault="003D7132" w:rsidP="009779E2">
      <w:pPr>
        <w:pStyle w:val="Heading2"/>
        <w:spacing w:after="240"/>
      </w:pPr>
      <w:r w:rsidRPr="009779E2">
        <w:lastRenderedPageBreak/>
        <w:t xml:space="preserve">Where can I </w:t>
      </w:r>
      <w:r w:rsidR="00874060" w:rsidRPr="009779E2">
        <w:t>find</w:t>
      </w:r>
      <w:r w:rsidRPr="009779E2">
        <w:t xml:space="preserve"> </w:t>
      </w:r>
      <w:r w:rsidR="00EB2826" w:rsidRPr="009779E2">
        <w:t>more information</w:t>
      </w:r>
      <w:r w:rsidRPr="009779E2">
        <w:t>?</w:t>
      </w:r>
    </w:p>
    <w:p w14:paraId="084E18BB" w14:textId="77777777" w:rsidR="00A44CBE" w:rsidRPr="009779E2" w:rsidRDefault="00A44CBE" w:rsidP="009779E2">
      <w:pPr>
        <w:spacing w:after="240"/>
        <w:jc w:val="both"/>
        <w:rPr>
          <w:rFonts w:ascii="Arial" w:hAnsi="Arial" w:cs="Arial"/>
        </w:rPr>
      </w:pPr>
      <w:hyperlink r:id="rId7" w:history="1">
        <w:r w:rsidRPr="009779E2">
          <w:rPr>
            <w:rStyle w:val="Hyperlink"/>
            <w:rFonts w:ascii="Arial" w:hAnsi="Arial" w:cs="Arial"/>
          </w:rPr>
          <w:t>EPA’s website with information on Maine’s Section 176A Petition</w:t>
        </w:r>
      </w:hyperlink>
    </w:p>
    <w:p w14:paraId="1B3E059C" w14:textId="77777777" w:rsidR="008401A7" w:rsidRPr="009779E2" w:rsidRDefault="008401A7" w:rsidP="009779E2">
      <w:pPr>
        <w:spacing w:after="240"/>
        <w:jc w:val="both"/>
        <w:rPr>
          <w:rFonts w:ascii="Arial" w:hAnsi="Arial" w:cs="Arial"/>
        </w:rPr>
      </w:pPr>
      <w:hyperlink r:id="rId8" w:history="1">
        <w:r w:rsidRPr="009779E2">
          <w:rPr>
            <w:rStyle w:val="Hyperlink"/>
            <w:rFonts w:ascii="Arial" w:hAnsi="Arial" w:cs="Arial"/>
          </w:rPr>
          <w:t>Federal Register Posting of Petition Approval</w:t>
        </w:r>
      </w:hyperlink>
    </w:p>
    <w:p w14:paraId="3CAADBE8" w14:textId="77777777" w:rsidR="00874060" w:rsidRPr="009779E2" w:rsidRDefault="00874060" w:rsidP="009779E2">
      <w:pPr>
        <w:spacing w:after="240"/>
        <w:jc w:val="both"/>
        <w:rPr>
          <w:rFonts w:ascii="Arial" w:hAnsi="Arial" w:cs="Arial"/>
        </w:rPr>
      </w:pPr>
      <w:hyperlink r:id="rId9" w:history="1">
        <w:r w:rsidRPr="009779E2">
          <w:rPr>
            <w:rStyle w:val="Hyperlink"/>
            <w:rFonts w:ascii="Arial" w:hAnsi="Arial" w:cs="Arial"/>
          </w:rPr>
          <w:t>Department of Environmental Protection Regulations</w:t>
        </w:r>
      </w:hyperlink>
    </w:p>
    <w:p w14:paraId="3539EBDE" w14:textId="59340CCB" w:rsidR="00874060" w:rsidRPr="009779E2" w:rsidRDefault="00874060" w:rsidP="009779E2">
      <w:pPr>
        <w:spacing w:after="240"/>
        <w:jc w:val="both"/>
        <w:rPr>
          <w:rFonts w:ascii="Arial" w:hAnsi="Arial" w:cs="Arial"/>
        </w:rPr>
      </w:pPr>
      <w:r w:rsidRPr="009779E2">
        <w:rPr>
          <w:rFonts w:ascii="Arial" w:hAnsi="Arial" w:cs="Arial"/>
        </w:rPr>
        <w:t xml:space="preserve">For questions on </w:t>
      </w:r>
      <w:r w:rsidR="00C23543" w:rsidRPr="009779E2">
        <w:rPr>
          <w:rFonts w:ascii="Arial" w:hAnsi="Arial" w:cs="Arial"/>
        </w:rPr>
        <w:t>Maine’s Section 176A Petition approval or</w:t>
      </w:r>
      <w:r w:rsidRPr="009779E2">
        <w:rPr>
          <w:rFonts w:ascii="Arial" w:hAnsi="Arial" w:cs="Arial"/>
        </w:rPr>
        <w:t xml:space="preserve"> how it may affect your facility, please contact Lynn Muzzey (207-</w:t>
      </w:r>
      <w:r w:rsidR="009779E2">
        <w:rPr>
          <w:rFonts w:ascii="Arial" w:hAnsi="Arial" w:cs="Arial"/>
        </w:rPr>
        <w:t>332-1279</w:t>
      </w:r>
      <w:r w:rsidRPr="009779E2">
        <w:rPr>
          <w:rFonts w:ascii="Arial" w:hAnsi="Arial" w:cs="Arial"/>
        </w:rPr>
        <w:t xml:space="preserve">, </w:t>
      </w:r>
      <w:hyperlink r:id="rId10" w:history="1">
        <w:r w:rsidRPr="009779E2">
          <w:rPr>
            <w:rStyle w:val="Hyperlink"/>
            <w:rFonts w:ascii="Arial" w:hAnsi="Arial" w:cs="Arial"/>
          </w:rPr>
          <w:t>lynn.muzzey@maine.gov</w:t>
        </w:r>
      </w:hyperlink>
      <w:r w:rsidRPr="009779E2">
        <w:rPr>
          <w:rFonts w:ascii="Arial" w:hAnsi="Arial" w:cs="Arial"/>
        </w:rPr>
        <w:t>) or Jane</w:t>
      </w:r>
      <w:r w:rsidR="00C23543" w:rsidRPr="009779E2">
        <w:rPr>
          <w:rFonts w:ascii="Arial" w:hAnsi="Arial" w:cs="Arial"/>
        </w:rPr>
        <w:t> </w:t>
      </w:r>
      <w:r w:rsidRPr="009779E2">
        <w:rPr>
          <w:rFonts w:ascii="Arial" w:hAnsi="Arial" w:cs="Arial"/>
        </w:rPr>
        <w:t>Gilbert (207</w:t>
      </w:r>
      <w:r w:rsidRPr="009779E2">
        <w:rPr>
          <w:rFonts w:ascii="Arial" w:hAnsi="Arial" w:cs="Arial"/>
        </w:rPr>
        <w:noBreakHyphen/>
        <w:t xml:space="preserve">530-0554, </w:t>
      </w:r>
      <w:hyperlink r:id="rId11" w:history="1">
        <w:r w:rsidRPr="009779E2">
          <w:rPr>
            <w:rStyle w:val="Hyperlink"/>
            <w:rFonts w:ascii="Arial" w:hAnsi="Arial" w:cs="Arial"/>
          </w:rPr>
          <w:t>jane.gilbert@maine.gov</w:t>
        </w:r>
      </w:hyperlink>
      <w:r w:rsidRPr="009779E2">
        <w:rPr>
          <w:rFonts w:ascii="Arial" w:hAnsi="Arial" w:cs="Arial"/>
        </w:rPr>
        <w:t xml:space="preserve">). </w:t>
      </w:r>
    </w:p>
    <w:p w14:paraId="0A1A84D6" w14:textId="77777777" w:rsidR="00A44CBE" w:rsidRPr="009779E2" w:rsidRDefault="00A44CBE" w:rsidP="009779E2">
      <w:pPr>
        <w:spacing w:after="240"/>
        <w:jc w:val="both"/>
        <w:rPr>
          <w:rFonts w:ascii="Arial" w:hAnsi="Arial" w:cs="Arial"/>
        </w:rPr>
      </w:pPr>
    </w:p>
    <w:sectPr w:rsidR="00A44CBE" w:rsidRPr="009779E2" w:rsidSect="00C65A87">
      <w:headerReference w:type="default" r:id="rId12"/>
      <w:pgSz w:w="12240" w:h="15840"/>
      <w:pgMar w:top="180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3C0DC" w14:textId="77777777" w:rsidR="009C77D0" w:rsidRDefault="009C77D0">
      <w:r>
        <w:separator/>
      </w:r>
    </w:p>
  </w:endnote>
  <w:endnote w:type="continuationSeparator" w:id="0">
    <w:p w14:paraId="21028E04" w14:textId="77777777" w:rsidR="009C77D0" w:rsidRDefault="009C7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5C28D" w14:textId="77777777" w:rsidR="009C77D0" w:rsidRDefault="009C77D0">
      <w:r>
        <w:separator/>
      </w:r>
    </w:p>
  </w:footnote>
  <w:footnote w:type="continuationSeparator" w:id="0">
    <w:p w14:paraId="7D52E3EF" w14:textId="77777777" w:rsidR="009C77D0" w:rsidRDefault="009C7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998"/>
      <w:gridCol w:w="1260"/>
    </w:tblGrid>
    <w:tr w:rsidR="00B1584F" w14:paraId="01037669" w14:textId="77777777" w:rsidTr="006134E4">
      <w:trPr>
        <w:jc w:val="right"/>
      </w:trPr>
      <w:tc>
        <w:tcPr>
          <w:tcW w:w="1998" w:type="dxa"/>
        </w:tcPr>
        <w:p w14:paraId="54A9857D" w14:textId="51AFE755" w:rsidR="00B1584F" w:rsidRPr="009779E2" w:rsidRDefault="00B1584F" w:rsidP="006134E4">
          <w:pPr>
            <w:rPr>
              <w:rFonts w:ascii="Arial" w:hAnsi="Arial" w:cs="Arial"/>
              <w:sz w:val="16"/>
            </w:rPr>
          </w:pPr>
          <w:r w:rsidRPr="009779E2">
            <w:rPr>
              <w:rFonts w:ascii="Arial" w:hAnsi="Arial" w:cs="Arial"/>
              <w:sz w:val="16"/>
            </w:rPr>
            <w:t>Form No.</w:t>
          </w:r>
        </w:p>
      </w:tc>
      <w:tc>
        <w:tcPr>
          <w:tcW w:w="1260" w:type="dxa"/>
        </w:tcPr>
        <w:p w14:paraId="0672E68D" w14:textId="77777777" w:rsidR="00B1584F" w:rsidRPr="009779E2" w:rsidRDefault="00B1584F" w:rsidP="006134E4">
          <w:pPr>
            <w:jc w:val="right"/>
            <w:rPr>
              <w:rFonts w:ascii="Arial" w:hAnsi="Arial" w:cs="Arial"/>
              <w:sz w:val="16"/>
            </w:rPr>
          </w:pPr>
          <w:r w:rsidRPr="009779E2">
            <w:rPr>
              <w:rFonts w:ascii="Arial" w:hAnsi="Arial" w:cs="Arial"/>
              <w:sz w:val="16"/>
            </w:rPr>
            <w:t>A-L-00</w:t>
          </w:r>
          <w:r w:rsidR="00705E4F" w:rsidRPr="009779E2">
            <w:rPr>
              <w:rFonts w:ascii="Arial" w:hAnsi="Arial" w:cs="Arial"/>
              <w:sz w:val="16"/>
            </w:rPr>
            <w:t>9</w:t>
          </w:r>
          <w:r w:rsidRPr="009779E2">
            <w:rPr>
              <w:rFonts w:ascii="Arial" w:hAnsi="Arial" w:cs="Arial"/>
              <w:sz w:val="16"/>
            </w:rPr>
            <w:t>3</w:t>
          </w:r>
        </w:p>
      </w:tc>
    </w:tr>
    <w:tr w:rsidR="00B1584F" w14:paraId="214971F7" w14:textId="77777777" w:rsidTr="006134E4">
      <w:trPr>
        <w:jc w:val="right"/>
      </w:trPr>
      <w:tc>
        <w:tcPr>
          <w:tcW w:w="1998" w:type="dxa"/>
        </w:tcPr>
        <w:p w14:paraId="7CE23CAF" w14:textId="77777777" w:rsidR="00B1584F" w:rsidRPr="009779E2" w:rsidRDefault="00B1584F" w:rsidP="006134E4">
          <w:pPr>
            <w:rPr>
              <w:rFonts w:ascii="Arial" w:hAnsi="Arial" w:cs="Arial"/>
              <w:sz w:val="16"/>
            </w:rPr>
          </w:pPr>
          <w:r w:rsidRPr="009779E2">
            <w:rPr>
              <w:rFonts w:ascii="Arial" w:hAnsi="Arial" w:cs="Arial"/>
              <w:sz w:val="16"/>
            </w:rPr>
            <w:t>Effective Date</w:t>
          </w:r>
        </w:p>
      </w:tc>
      <w:tc>
        <w:tcPr>
          <w:tcW w:w="1260" w:type="dxa"/>
        </w:tcPr>
        <w:p w14:paraId="0E3EFBAA" w14:textId="77777777" w:rsidR="00B1584F" w:rsidRPr="009779E2" w:rsidRDefault="00CC42DC" w:rsidP="006134E4">
          <w:pPr>
            <w:jc w:val="right"/>
            <w:rPr>
              <w:rFonts w:ascii="Arial" w:hAnsi="Arial" w:cs="Arial"/>
              <w:sz w:val="16"/>
            </w:rPr>
          </w:pPr>
          <w:r w:rsidRPr="009779E2">
            <w:rPr>
              <w:rFonts w:ascii="Arial" w:hAnsi="Arial" w:cs="Arial"/>
              <w:sz w:val="16"/>
            </w:rPr>
            <w:t>2/10/2022</w:t>
          </w:r>
        </w:p>
      </w:tc>
    </w:tr>
    <w:tr w:rsidR="00B1584F" w14:paraId="5E91C393" w14:textId="77777777" w:rsidTr="006134E4">
      <w:trPr>
        <w:jc w:val="right"/>
      </w:trPr>
      <w:tc>
        <w:tcPr>
          <w:tcW w:w="1998" w:type="dxa"/>
        </w:tcPr>
        <w:p w14:paraId="19A5D5F8" w14:textId="77777777" w:rsidR="00B1584F" w:rsidRPr="009779E2" w:rsidRDefault="00B1584F" w:rsidP="006134E4">
          <w:pPr>
            <w:rPr>
              <w:rFonts w:ascii="Arial" w:hAnsi="Arial" w:cs="Arial"/>
              <w:sz w:val="16"/>
            </w:rPr>
          </w:pPr>
          <w:r w:rsidRPr="009779E2">
            <w:rPr>
              <w:rFonts w:ascii="Arial" w:hAnsi="Arial" w:cs="Arial"/>
              <w:sz w:val="16"/>
            </w:rPr>
            <w:t>Revision No.</w:t>
          </w:r>
        </w:p>
      </w:tc>
      <w:tc>
        <w:tcPr>
          <w:tcW w:w="1260" w:type="dxa"/>
        </w:tcPr>
        <w:p w14:paraId="0A0E3847" w14:textId="4A8DCC87" w:rsidR="00B1584F" w:rsidRPr="009779E2" w:rsidRDefault="009779E2" w:rsidP="006134E4">
          <w:pPr>
            <w:jc w:val="right"/>
            <w:rPr>
              <w:rFonts w:ascii="Arial" w:hAnsi="Arial" w:cs="Arial"/>
              <w:sz w:val="16"/>
            </w:rPr>
          </w:pPr>
          <w:r w:rsidRPr="009779E2">
            <w:rPr>
              <w:rFonts w:ascii="Arial" w:hAnsi="Arial" w:cs="Arial"/>
              <w:sz w:val="16"/>
            </w:rPr>
            <w:t>02</w:t>
          </w:r>
        </w:p>
      </w:tc>
    </w:tr>
    <w:tr w:rsidR="00B1584F" w14:paraId="2F9B76E6" w14:textId="77777777" w:rsidTr="006134E4">
      <w:trPr>
        <w:jc w:val="right"/>
      </w:trPr>
      <w:tc>
        <w:tcPr>
          <w:tcW w:w="1998" w:type="dxa"/>
        </w:tcPr>
        <w:p w14:paraId="1908B8B2" w14:textId="77777777" w:rsidR="00B1584F" w:rsidRPr="009779E2" w:rsidRDefault="00B1584F" w:rsidP="006134E4">
          <w:pPr>
            <w:rPr>
              <w:rFonts w:ascii="Arial" w:hAnsi="Arial" w:cs="Arial"/>
              <w:sz w:val="16"/>
            </w:rPr>
          </w:pPr>
          <w:r w:rsidRPr="009779E2">
            <w:rPr>
              <w:rFonts w:ascii="Arial" w:hAnsi="Arial" w:cs="Arial"/>
              <w:sz w:val="16"/>
            </w:rPr>
            <w:t>Last Revision Date</w:t>
          </w:r>
        </w:p>
      </w:tc>
      <w:tc>
        <w:tcPr>
          <w:tcW w:w="1260" w:type="dxa"/>
        </w:tcPr>
        <w:p w14:paraId="7EA2336A" w14:textId="0941DB86" w:rsidR="00B1584F" w:rsidRPr="009779E2" w:rsidRDefault="009779E2" w:rsidP="006134E4">
          <w:pPr>
            <w:jc w:val="right"/>
            <w:rPr>
              <w:rFonts w:ascii="Arial" w:hAnsi="Arial" w:cs="Arial"/>
              <w:sz w:val="16"/>
            </w:rPr>
          </w:pPr>
          <w:r w:rsidRPr="009779E2">
            <w:rPr>
              <w:rFonts w:ascii="Arial" w:hAnsi="Arial" w:cs="Arial"/>
              <w:sz w:val="16"/>
            </w:rPr>
            <w:t>3/17/2026</w:t>
          </w:r>
        </w:p>
      </w:tc>
    </w:tr>
    <w:tr w:rsidR="00B1584F" w14:paraId="0A8C09E3" w14:textId="77777777" w:rsidTr="006134E4">
      <w:trPr>
        <w:jc w:val="right"/>
      </w:trPr>
      <w:tc>
        <w:tcPr>
          <w:tcW w:w="1998" w:type="dxa"/>
        </w:tcPr>
        <w:p w14:paraId="7A2D2619" w14:textId="77777777" w:rsidR="00B1584F" w:rsidRPr="009779E2" w:rsidRDefault="00B1584F" w:rsidP="006134E4">
          <w:pPr>
            <w:rPr>
              <w:rFonts w:ascii="Arial" w:hAnsi="Arial" w:cs="Arial"/>
              <w:sz w:val="16"/>
            </w:rPr>
          </w:pPr>
        </w:p>
      </w:tc>
      <w:tc>
        <w:tcPr>
          <w:tcW w:w="1260" w:type="dxa"/>
        </w:tcPr>
        <w:p w14:paraId="311B9767" w14:textId="77777777" w:rsidR="00B1584F" w:rsidRPr="009779E2" w:rsidRDefault="00B1584F" w:rsidP="006134E4">
          <w:pPr>
            <w:jc w:val="right"/>
            <w:rPr>
              <w:rFonts w:ascii="Arial" w:hAnsi="Arial" w:cs="Arial"/>
              <w:sz w:val="16"/>
            </w:rPr>
          </w:pPr>
          <w:r w:rsidRPr="009779E2">
            <w:rPr>
              <w:rFonts w:ascii="Arial" w:hAnsi="Arial" w:cs="Arial"/>
              <w:snapToGrid w:val="0"/>
              <w:sz w:val="16"/>
            </w:rPr>
            <w:t xml:space="preserve">Page </w:t>
          </w:r>
          <w:r w:rsidRPr="009779E2">
            <w:rPr>
              <w:rFonts w:ascii="Arial" w:hAnsi="Arial" w:cs="Arial"/>
              <w:snapToGrid w:val="0"/>
              <w:sz w:val="16"/>
            </w:rPr>
            <w:fldChar w:fldCharType="begin"/>
          </w:r>
          <w:r w:rsidRPr="009779E2">
            <w:rPr>
              <w:rFonts w:ascii="Arial" w:hAnsi="Arial" w:cs="Arial"/>
              <w:snapToGrid w:val="0"/>
              <w:sz w:val="16"/>
            </w:rPr>
            <w:instrText xml:space="preserve"> PAGE </w:instrText>
          </w:r>
          <w:r w:rsidRPr="009779E2">
            <w:rPr>
              <w:rFonts w:ascii="Arial" w:hAnsi="Arial" w:cs="Arial"/>
              <w:snapToGrid w:val="0"/>
              <w:sz w:val="16"/>
            </w:rPr>
            <w:fldChar w:fldCharType="separate"/>
          </w:r>
          <w:r w:rsidR="007A5C9A" w:rsidRPr="009779E2">
            <w:rPr>
              <w:rFonts w:ascii="Arial" w:hAnsi="Arial" w:cs="Arial"/>
              <w:noProof/>
              <w:snapToGrid w:val="0"/>
              <w:sz w:val="16"/>
            </w:rPr>
            <w:t>1</w:t>
          </w:r>
          <w:r w:rsidRPr="009779E2">
            <w:rPr>
              <w:rFonts w:ascii="Arial" w:hAnsi="Arial" w:cs="Arial"/>
              <w:snapToGrid w:val="0"/>
              <w:sz w:val="16"/>
            </w:rPr>
            <w:fldChar w:fldCharType="end"/>
          </w:r>
          <w:r w:rsidRPr="009779E2">
            <w:rPr>
              <w:rFonts w:ascii="Arial" w:hAnsi="Arial" w:cs="Arial"/>
              <w:snapToGrid w:val="0"/>
              <w:sz w:val="16"/>
            </w:rPr>
            <w:t xml:space="preserve"> of </w:t>
          </w:r>
          <w:r w:rsidRPr="009779E2">
            <w:rPr>
              <w:rFonts w:ascii="Arial" w:hAnsi="Arial" w:cs="Arial"/>
              <w:snapToGrid w:val="0"/>
              <w:sz w:val="16"/>
            </w:rPr>
            <w:fldChar w:fldCharType="begin"/>
          </w:r>
          <w:r w:rsidRPr="009779E2">
            <w:rPr>
              <w:rFonts w:ascii="Arial" w:hAnsi="Arial" w:cs="Arial"/>
              <w:snapToGrid w:val="0"/>
              <w:sz w:val="16"/>
            </w:rPr>
            <w:instrText xml:space="preserve"> NUMPAGES </w:instrText>
          </w:r>
          <w:r w:rsidRPr="009779E2">
            <w:rPr>
              <w:rFonts w:ascii="Arial" w:hAnsi="Arial" w:cs="Arial"/>
              <w:snapToGrid w:val="0"/>
              <w:sz w:val="16"/>
            </w:rPr>
            <w:fldChar w:fldCharType="separate"/>
          </w:r>
          <w:r w:rsidR="007A5C9A" w:rsidRPr="009779E2">
            <w:rPr>
              <w:rFonts w:ascii="Arial" w:hAnsi="Arial" w:cs="Arial"/>
              <w:noProof/>
              <w:snapToGrid w:val="0"/>
              <w:sz w:val="16"/>
            </w:rPr>
            <w:t>4</w:t>
          </w:r>
          <w:r w:rsidRPr="009779E2">
            <w:rPr>
              <w:rFonts w:ascii="Arial" w:hAnsi="Arial" w:cs="Arial"/>
              <w:snapToGrid w:val="0"/>
              <w:sz w:val="16"/>
            </w:rPr>
            <w:fldChar w:fldCharType="end"/>
          </w:r>
        </w:p>
      </w:tc>
    </w:tr>
  </w:tbl>
  <w:p w14:paraId="3963F72C" w14:textId="644A883C" w:rsidR="00B1584F" w:rsidRDefault="003E2D5B">
    <w:pPr>
      <w:pStyle w:val="Header"/>
    </w:pPr>
    <w:r>
      <w:rPr>
        <w:noProof/>
      </w:rPr>
      <w:drawing>
        <wp:anchor distT="0" distB="0" distL="114300" distR="114300" simplePos="0" relativeHeight="251657728" behindDoc="0" locked="0" layoutInCell="0" allowOverlap="1" wp14:anchorId="27289692" wp14:editId="04159AB5">
          <wp:simplePos x="0" y="0"/>
          <wp:positionH relativeFrom="column">
            <wp:posOffset>9525</wp:posOffset>
          </wp:positionH>
          <wp:positionV relativeFrom="paragraph">
            <wp:posOffset>-679450</wp:posOffset>
          </wp:positionV>
          <wp:extent cx="594360" cy="594360"/>
          <wp:effectExtent l="0" t="0" r="0" b="0"/>
          <wp:wrapNone/>
          <wp:docPr id="1" name="Picture 1"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15BA"/>
    <w:multiLevelType w:val="multilevel"/>
    <w:tmpl w:val="E2AEA848"/>
    <w:lvl w:ilvl="0">
      <w:start w:val="1"/>
      <w:numFmt w:val="decimal"/>
      <w:lvlText w:val="(%1)"/>
      <w:lvlJc w:val="left"/>
      <w:pPr>
        <w:tabs>
          <w:tab w:val="num" w:pos="720"/>
        </w:tabs>
        <w:ind w:left="72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D005CC6"/>
    <w:multiLevelType w:val="hybridMultilevel"/>
    <w:tmpl w:val="D8EC63FA"/>
    <w:lvl w:ilvl="0" w:tplc="C72A1CF8">
      <w:start w:val="1"/>
      <w:numFmt w:val="decimal"/>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EB1A3A"/>
    <w:multiLevelType w:val="multilevel"/>
    <w:tmpl w:val="D1E028EA"/>
    <w:lvl w:ilvl="0">
      <w:start w:val="1"/>
      <w:numFmt w:val="upperLetter"/>
      <w:lvlText w:val="%1."/>
      <w:lvlJc w:val="left"/>
      <w:pPr>
        <w:tabs>
          <w:tab w:val="num" w:pos="720"/>
        </w:tabs>
        <w:ind w:left="720" w:hanging="360"/>
      </w:pPr>
      <w:rPr>
        <w:rFonts w:hint="default"/>
        <w:b/>
        <w:i w:val="0"/>
      </w:rPr>
    </w:lvl>
    <w:lvl w:ilvl="1">
      <w:start w:val="17"/>
      <w:numFmt w:val="decimal"/>
      <w:lvlText w:val="(%2)"/>
      <w:lvlJc w:val="left"/>
      <w:pPr>
        <w:tabs>
          <w:tab w:val="num" w:pos="1800"/>
        </w:tabs>
        <w:ind w:left="1800" w:hanging="720"/>
      </w:pPr>
      <w:rPr>
        <w:rFonts w:ascii="Times New Roman" w:hAnsi="Times New Roman"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0636179"/>
    <w:multiLevelType w:val="multilevel"/>
    <w:tmpl w:val="3F589958"/>
    <w:lvl w:ilvl="0">
      <w:start w:val="1"/>
      <w:numFmt w:val="decimal"/>
      <w:lvlText w:val="(%1)"/>
      <w:lvlJc w:val="left"/>
      <w:pPr>
        <w:tabs>
          <w:tab w:val="num" w:pos="1080"/>
        </w:tabs>
        <w:ind w:left="108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95C192F"/>
    <w:multiLevelType w:val="hybridMultilevel"/>
    <w:tmpl w:val="00ECB1E4"/>
    <w:lvl w:ilvl="0" w:tplc="480C6770">
      <w:start w:val="1"/>
      <w:numFmt w:val="lowerLetter"/>
      <w:lvlText w:val="(%1)"/>
      <w:lvlJc w:val="left"/>
      <w:pPr>
        <w:tabs>
          <w:tab w:val="num" w:pos="1440"/>
        </w:tabs>
        <w:ind w:left="144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EE3560"/>
    <w:multiLevelType w:val="hybridMultilevel"/>
    <w:tmpl w:val="89CA9516"/>
    <w:lvl w:ilvl="0" w:tplc="F5EC1B90">
      <w:start w:val="1"/>
      <w:numFmt w:val="decimal"/>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CF545E"/>
    <w:multiLevelType w:val="hybridMultilevel"/>
    <w:tmpl w:val="B24CA0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B00978"/>
    <w:multiLevelType w:val="multilevel"/>
    <w:tmpl w:val="42EAA0FC"/>
    <w:lvl w:ilvl="0">
      <w:start w:val="1"/>
      <w:numFmt w:val="decimal"/>
      <w:lvlText w:val="(%1)"/>
      <w:lvlJc w:val="left"/>
      <w:pPr>
        <w:tabs>
          <w:tab w:val="num" w:pos="720"/>
        </w:tabs>
        <w:ind w:left="72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28F047F"/>
    <w:multiLevelType w:val="hybridMultilevel"/>
    <w:tmpl w:val="630C2ACC"/>
    <w:lvl w:ilvl="0" w:tplc="A62A2614">
      <w:start w:val="9"/>
      <w:numFmt w:val="decimal"/>
      <w:lvlText w:val="(%1)"/>
      <w:lvlJc w:val="left"/>
      <w:pPr>
        <w:tabs>
          <w:tab w:val="num" w:pos="1080"/>
        </w:tabs>
        <w:ind w:left="108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672006"/>
    <w:multiLevelType w:val="hybridMultilevel"/>
    <w:tmpl w:val="D1E028EA"/>
    <w:lvl w:ilvl="0" w:tplc="D3F02C98">
      <w:start w:val="1"/>
      <w:numFmt w:val="upperLetter"/>
      <w:lvlText w:val="%1."/>
      <w:lvlJc w:val="left"/>
      <w:pPr>
        <w:tabs>
          <w:tab w:val="num" w:pos="720"/>
        </w:tabs>
        <w:ind w:left="720" w:hanging="360"/>
      </w:pPr>
      <w:rPr>
        <w:rFonts w:hint="default"/>
        <w:b/>
        <w:i w:val="0"/>
      </w:rPr>
    </w:lvl>
    <w:lvl w:ilvl="1" w:tplc="A0E020AA">
      <w:start w:val="17"/>
      <w:numFmt w:val="decimal"/>
      <w:lvlText w:val="(%2)"/>
      <w:lvlJc w:val="left"/>
      <w:pPr>
        <w:tabs>
          <w:tab w:val="num" w:pos="1800"/>
        </w:tabs>
        <w:ind w:left="1800" w:hanging="720"/>
      </w:pPr>
      <w:rPr>
        <w:rFonts w:ascii="Times New Roman" w:hAnsi="Times New Roman"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5417DF"/>
    <w:multiLevelType w:val="hybridMultilevel"/>
    <w:tmpl w:val="E566F6A4"/>
    <w:lvl w:ilvl="0" w:tplc="67B29EAC">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A0362E"/>
    <w:multiLevelType w:val="hybridMultilevel"/>
    <w:tmpl w:val="61BA70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C748D1"/>
    <w:multiLevelType w:val="multilevel"/>
    <w:tmpl w:val="D16E0162"/>
    <w:lvl w:ilvl="0">
      <w:start w:val="1"/>
      <w:numFmt w:val="decimal"/>
      <w:lvlText w:val="(%1)"/>
      <w:lvlJc w:val="left"/>
      <w:pPr>
        <w:tabs>
          <w:tab w:val="num" w:pos="1080"/>
        </w:tabs>
        <w:ind w:left="108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35C03C2"/>
    <w:multiLevelType w:val="hybridMultilevel"/>
    <w:tmpl w:val="3CC4A7BC"/>
    <w:lvl w:ilvl="0" w:tplc="61BC06B4">
      <w:start w:val="1"/>
      <w:numFmt w:val="decimal"/>
      <w:lvlText w:val="%1."/>
      <w:lvlJc w:val="left"/>
      <w:pPr>
        <w:tabs>
          <w:tab w:val="num" w:pos="1080"/>
        </w:tabs>
        <w:ind w:left="1080" w:hanging="360"/>
      </w:pPr>
      <w:rPr>
        <w:rFonts w:hint="default"/>
        <w:b w:val="0"/>
        <w:i w:val="0"/>
      </w:rPr>
    </w:lvl>
    <w:lvl w:ilvl="1" w:tplc="480C6770">
      <w:start w:val="1"/>
      <w:numFmt w:val="lowerLetter"/>
      <w:lvlText w:val="(%2)"/>
      <w:lvlJc w:val="left"/>
      <w:pPr>
        <w:tabs>
          <w:tab w:val="num" w:pos="1440"/>
        </w:tabs>
        <w:ind w:left="1440" w:hanging="360"/>
      </w:pPr>
      <w:rPr>
        <w:rFonts w:hint="default"/>
        <w:b w:val="0"/>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46019B"/>
    <w:multiLevelType w:val="multilevel"/>
    <w:tmpl w:val="8186697E"/>
    <w:lvl w:ilvl="0">
      <w:start w:val="1"/>
      <w:numFmt w:val="decimal"/>
      <w:lvlText w:val="(%1)"/>
      <w:lvlJc w:val="left"/>
      <w:pPr>
        <w:tabs>
          <w:tab w:val="num" w:pos="1080"/>
        </w:tabs>
        <w:ind w:left="108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86B24F8"/>
    <w:multiLevelType w:val="hybridMultilevel"/>
    <w:tmpl w:val="9202D71E"/>
    <w:lvl w:ilvl="0" w:tplc="2CD677DA">
      <w:start w:val="1"/>
      <w:numFmt w:val="decimal"/>
      <w:lvlText w:val="(%1)"/>
      <w:lvlJc w:val="left"/>
      <w:pPr>
        <w:tabs>
          <w:tab w:val="num" w:pos="720"/>
        </w:tabs>
        <w:ind w:left="792" w:hanging="432"/>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C2709B"/>
    <w:multiLevelType w:val="multilevel"/>
    <w:tmpl w:val="595C9318"/>
    <w:lvl w:ilvl="0">
      <w:start w:val="1"/>
      <w:numFmt w:val="decimal"/>
      <w:lvlText w:val="(%1)"/>
      <w:lvlJc w:val="left"/>
      <w:pPr>
        <w:tabs>
          <w:tab w:val="num" w:pos="1080"/>
        </w:tabs>
        <w:ind w:left="108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5673A32"/>
    <w:multiLevelType w:val="multilevel"/>
    <w:tmpl w:val="1B642DEA"/>
    <w:lvl w:ilvl="0">
      <w:start w:val="1"/>
      <w:numFmt w:val="decimal"/>
      <w:lvlText w:val="(%1)"/>
      <w:lvlJc w:val="left"/>
      <w:pPr>
        <w:tabs>
          <w:tab w:val="num" w:pos="720"/>
        </w:tabs>
        <w:ind w:left="72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7B95042"/>
    <w:multiLevelType w:val="singleLevel"/>
    <w:tmpl w:val="654ED53A"/>
    <w:lvl w:ilvl="0">
      <w:start w:val="1"/>
      <w:numFmt w:val="decimal"/>
      <w:lvlText w:val="(%1)"/>
      <w:lvlJc w:val="left"/>
      <w:pPr>
        <w:tabs>
          <w:tab w:val="num" w:pos="720"/>
        </w:tabs>
        <w:ind w:left="720" w:hanging="360"/>
      </w:pPr>
      <w:rPr>
        <w:rFonts w:hint="default"/>
        <w:b w:val="0"/>
        <w:i w:val="0"/>
        <w:u w:val="none"/>
      </w:rPr>
    </w:lvl>
  </w:abstractNum>
  <w:abstractNum w:abstractNumId="19" w15:restartNumberingAfterBreak="0">
    <w:nsid w:val="48577216"/>
    <w:multiLevelType w:val="multilevel"/>
    <w:tmpl w:val="6642658C"/>
    <w:lvl w:ilvl="0">
      <w:start w:val="1"/>
      <w:numFmt w:val="decimal"/>
      <w:lvlText w:val="(%1)"/>
      <w:lvlJc w:val="left"/>
      <w:pPr>
        <w:tabs>
          <w:tab w:val="num" w:pos="1080"/>
        </w:tabs>
        <w:ind w:left="108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A6F3B08"/>
    <w:multiLevelType w:val="multilevel"/>
    <w:tmpl w:val="630C2ACC"/>
    <w:lvl w:ilvl="0">
      <w:start w:val="9"/>
      <w:numFmt w:val="decimal"/>
      <w:lvlText w:val="(%1)"/>
      <w:lvlJc w:val="left"/>
      <w:pPr>
        <w:tabs>
          <w:tab w:val="num" w:pos="1080"/>
        </w:tabs>
        <w:ind w:left="108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B0717E2"/>
    <w:multiLevelType w:val="singleLevel"/>
    <w:tmpl w:val="70FCFDBE"/>
    <w:lvl w:ilvl="0">
      <w:start w:val="1"/>
      <w:numFmt w:val="lowerRoman"/>
      <w:lvlText w:val="(%1)"/>
      <w:lvlJc w:val="left"/>
      <w:pPr>
        <w:tabs>
          <w:tab w:val="num" w:pos="1800"/>
        </w:tabs>
        <w:ind w:left="1800" w:hanging="360"/>
      </w:pPr>
      <w:rPr>
        <w:rFonts w:hint="default"/>
      </w:rPr>
    </w:lvl>
  </w:abstractNum>
  <w:abstractNum w:abstractNumId="22" w15:restartNumberingAfterBreak="0">
    <w:nsid w:val="4CFE6FA5"/>
    <w:multiLevelType w:val="singleLevel"/>
    <w:tmpl w:val="480C6770"/>
    <w:lvl w:ilvl="0">
      <w:start w:val="1"/>
      <w:numFmt w:val="lowerLetter"/>
      <w:lvlText w:val="(%1)"/>
      <w:lvlJc w:val="left"/>
      <w:pPr>
        <w:tabs>
          <w:tab w:val="num" w:pos="1440"/>
        </w:tabs>
        <w:ind w:left="1440" w:hanging="360"/>
      </w:pPr>
      <w:rPr>
        <w:rFonts w:hint="default"/>
        <w:b w:val="0"/>
        <w:i w:val="0"/>
        <w:u w:val="none"/>
      </w:rPr>
    </w:lvl>
  </w:abstractNum>
  <w:abstractNum w:abstractNumId="23" w15:restartNumberingAfterBreak="0">
    <w:nsid w:val="511420A9"/>
    <w:multiLevelType w:val="hybridMultilevel"/>
    <w:tmpl w:val="42EAA0FC"/>
    <w:lvl w:ilvl="0" w:tplc="B428EE24">
      <w:start w:val="1"/>
      <w:numFmt w:val="decimal"/>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E571CD"/>
    <w:multiLevelType w:val="multilevel"/>
    <w:tmpl w:val="F6F4AF8C"/>
    <w:lvl w:ilvl="0">
      <w:start w:val="1"/>
      <w:numFmt w:val="decimal"/>
      <w:lvlText w:val="(%1)"/>
      <w:lvlJc w:val="left"/>
      <w:pPr>
        <w:tabs>
          <w:tab w:val="num" w:pos="1080"/>
        </w:tabs>
        <w:ind w:left="108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45639F3"/>
    <w:multiLevelType w:val="hybridMultilevel"/>
    <w:tmpl w:val="80B06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BE4351"/>
    <w:multiLevelType w:val="hybridMultilevel"/>
    <w:tmpl w:val="29A4E65A"/>
    <w:lvl w:ilvl="0" w:tplc="A6C8B65E">
      <w:start w:val="1"/>
      <w:numFmt w:val="upperLetter"/>
      <w:lvlText w:val="%1."/>
      <w:lvlJc w:val="left"/>
      <w:pPr>
        <w:tabs>
          <w:tab w:val="num" w:pos="720"/>
        </w:tabs>
        <w:ind w:left="720" w:hanging="360"/>
      </w:pPr>
      <w:rPr>
        <w:rFonts w:hint="default"/>
        <w:b/>
        <w:i w:val="0"/>
      </w:rPr>
    </w:lvl>
    <w:lvl w:ilvl="1" w:tplc="96B4E026">
      <w:start w:val="1"/>
      <w:numFmt w:val="decimal"/>
      <w:lvlText w:val="%2."/>
      <w:lvlJc w:val="left"/>
      <w:pPr>
        <w:tabs>
          <w:tab w:val="num" w:pos="1080"/>
        </w:tabs>
        <w:ind w:left="1080" w:hanging="360"/>
      </w:pPr>
      <w:rPr>
        <w:rFonts w:hint="default"/>
        <w:b w:val="0"/>
        <w:i w:val="0"/>
      </w:rPr>
    </w:lvl>
    <w:lvl w:ilvl="2" w:tplc="E72C23D0">
      <w:start w:val="1"/>
      <w:numFmt w:val="decimal"/>
      <w:lvlText w:val="%3."/>
      <w:lvlJc w:val="left"/>
      <w:pPr>
        <w:tabs>
          <w:tab w:val="num" w:pos="1080"/>
        </w:tabs>
        <w:ind w:left="1080" w:hanging="360"/>
      </w:pPr>
      <w:rPr>
        <w:rFonts w:hint="default"/>
        <w:b w:val="0"/>
        <w:i w:val="0"/>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02732F"/>
    <w:multiLevelType w:val="multilevel"/>
    <w:tmpl w:val="29A4E65A"/>
    <w:lvl w:ilvl="0">
      <w:start w:val="1"/>
      <w:numFmt w:val="upperLetter"/>
      <w:lvlText w:val="%1."/>
      <w:lvlJc w:val="left"/>
      <w:pPr>
        <w:tabs>
          <w:tab w:val="num" w:pos="720"/>
        </w:tabs>
        <w:ind w:left="720" w:hanging="360"/>
      </w:pPr>
      <w:rPr>
        <w:rFonts w:hint="default"/>
        <w:b/>
        <w:i w:val="0"/>
      </w:rPr>
    </w:lvl>
    <w:lvl w:ilvl="1">
      <w:start w:val="1"/>
      <w:numFmt w:val="decimal"/>
      <w:lvlText w:val="%2."/>
      <w:lvlJc w:val="left"/>
      <w:pPr>
        <w:tabs>
          <w:tab w:val="num" w:pos="1080"/>
        </w:tabs>
        <w:ind w:left="1080" w:hanging="360"/>
      </w:pPr>
      <w:rPr>
        <w:rFonts w:hint="default"/>
        <w:b w:val="0"/>
        <w:i w:val="0"/>
      </w:rPr>
    </w:lvl>
    <w:lvl w:ilvl="2">
      <w:start w:val="1"/>
      <w:numFmt w:val="decimal"/>
      <w:lvlText w:val="%3."/>
      <w:lvlJc w:val="left"/>
      <w:pPr>
        <w:tabs>
          <w:tab w:val="num" w:pos="1080"/>
        </w:tabs>
        <w:ind w:left="1080" w:hanging="360"/>
      </w:pPr>
      <w:rPr>
        <w:rFonts w:hint="default"/>
        <w:b w:val="0"/>
        <w:i w:val="0"/>
        <w:u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94D1B6B"/>
    <w:multiLevelType w:val="hybridMultilevel"/>
    <w:tmpl w:val="76620A04"/>
    <w:lvl w:ilvl="0" w:tplc="8960C6AC">
      <w:start w:val="1"/>
      <w:numFmt w:val="decimal"/>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EF6029"/>
    <w:multiLevelType w:val="multilevel"/>
    <w:tmpl w:val="DBC83F64"/>
    <w:lvl w:ilvl="0">
      <w:start w:val="1"/>
      <w:numFmt w:val="decimal"/>
      <w:lvlText w:val="(%1)"/>
      <w:lvlJc w:val="left"/>
      <w:pPr>
        <w:tabs>
          <w:tab w:val="num" w:pos="1080"/>
        </w:tabs>
        <w:ind w:left="108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CEC0109"/>
    <w:multiLevelType w:val="multilevel"/>
    <w:tmpl w:val="ECF4E880"/>
    <w:lvl w:ilvl="0">
      <w:start w:val="1"/>
      <w:numFmt w:val="decimal"/>
      <w:lvlText w:val="(%1)"/>
      <w:lvlJc w:val="left"/>
      <w:pPr>
        <w:tabs>
          <w:tab w:val="num" w:pos="720"/>
        </w:tabs>
        <w:ind w:left="72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E5F3538"/>
    <w:multiLevelType w:val="multilevel"/>
    <w:tmpl w:val="8EE68774"/>
    <w:lvl w:ilvl="0">
      <w:start w:val="1"/>
      <w:numFmt w:val="decimal"/>
      <w:lvlText w:val="(%1)"/>
      <w:lvlJc w:val="left"/>
      <w:pPr>
        <w:tabs>
          <w:tab w:val="num" w:pos="1080"/>
        </w:tabs>
        <w:ind w:left="108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9AA6A01"/>
    <w:multiLevelType w:val="hybridMultilevel"/>
    <w:tmpl w:val="D56E7DA6"/>
    <w:lvl w:ilvl="0" w:tplc="DF2C4B96">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A1212D2"/>
    <w:multiLevelType w:val="multilevel"/>
    <w:tmpl w:val="B3EAC8B2"/>
    <w:lvl w:ilvl="0">
      <w:start w:val="1"/>
      <w:numFmt w:val="decimal"/>
      <w:lvlText w:val="(%1)"/>
      <w:lvlJc w:val="left"/>
      <w:pPr>
        <w:tabs>
          <w:tab w:val="num" w:pos="1080"/>
        </w:tabs>
        <w:ind w:left="108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EE217A7"/>
    <w:multiLevelType w:val="hybridMultilevel"/>
    <w:tmpl w:val="5894ACD6"/>
    <w:lvl w:ilvl="0" w:tplc="2000212C">
      <w:start w:val="1"/>
      <w:numFmt w:val="decimal"/>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28C44FE"/>
    <w:multiLevelType w:val="hybridMultilevel"/>
    <w:tmpl w:val="2DCC3E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2F2DF2"/>
    <w:multiLevelType w:val="hybridMultilevel"/>
    <w:tmpl w:val="66D689DA"/>
    <w:lvl w:ilvl="0" w:tplc="283E249E">
      <w:start w:val="1"/>
      <w:numFmt w:val="decimal"/>
      <w:lvlText w:val="(%1)"/>
      <w:lvlJc w:val="left"/>
      <w:pPr>
        <w:tabs>
          <w:tab w:val="num" w:pos="720"/>
        </w:tabs>
        <w:ind w:left="792" w:hanging="432"/>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88775502">
    <w:abstractNumId w:val="6"/>
  </w:num>
  <w:num w:numId="2" w16cid:durableId="417287161">
    <w:abstractNumId w:val="35"/>
  </w:num>
  <w:num w:numId="3" w16cid:durableId="1220633405">
    <w:abstractNumId w:val="18"/>
  </w:num>
  <w:num w:numId="4" w16cid:durableId="644697192">
    <w:abstractNumId w:val="9"/>
  </w:num>
  <w:num w:numId="5" w16cid:durableId="638457478">
    <w:abstractNumId w:val="28"/>
  </w:num>
  <w:num w:numId="6" w16cid:durableId="1273827836">
    <w:abstractNumId w:val="34"/>
  </w:num>
  <w:num w:numId="7" w16cid:durableId="1095980019">
    <w:abstractNumId w:val="22"/>
  </w:num>
  <w:num w:numId="8" w16cid:durableId="616984342">
    <w:abstractNumId w:val="21"/>
  </w:num>
  <w:num w:numId="9" w16cid:durableId="546065184">
    <w:abstractNumId w:val="4"/>
  </w:num>
  <w:num w:numId="10" w16cid:durableId="1821579323">
    <w:abstractNumId w:val="13"/>
  </w:num>
  <w:num w:numId="11" w16cid:durableId="614674475">
    <w:abstractNumId w:val="26"/>
  </w:num>
  <w:num w:numId="12" w16cid:durableId="1261719871">
    <w:abstractNumId w:val="36"/>
  </w:num>
  <w:num w:numId="13" w16cid:durableId="470709837">
    <w:abstractNumId w:val="8"/>
  </w:num>
  <w:num w:numId="14" w16cid:durableId="2028166723">
    <w:abstractNumId w:val="5"/>
  </w:num>
  <w:num w:numId="15" w16cid:durableId="1430000890">
    <w:abstractNumId w:val="15"/>
  </w:num>
  <w:num w:numId="16" w16cid:durableId="1414545762">
    <w:abstractNumId w:val="1"/>
  </w:num>
  <w:num w:numId="17" w16cid:durableId="936866772">
    <w:abstractNumId w:val="2"/>
  </w:num>
  <w:num w:numId="18" w16cid:durableId="369688694">
    <w:abstractNumId w:val="32"/>
  </w:num>
  <w:num w:numId="19" w16cid:durableId="1836069317">
    <w:abstractNumId w:val="14"/>
  </w:num>
  <w:num w:numId="20" w16cid:durableId="129712274">
    <w:abstractNumId w:val="3"/>
  </w:num>
  <w:num w:numId="21" w16cid:durableId="367730287">
    <w:abstractNumId w:val="27"/>
  </w:num>
  <w:num w:numId="22" w16cid:durableId="675037850">
    <w:abstractNumId w:val="10"/>
  </w:num>
  <w:num w:numId="23" w16cid:durableId="1599631248">
    <w:abstractNumId w:val="12"/>
  </w:num>
  <w:num w:numId="24" w16cid:durableId="2122144748">
    <w:abstractNumId w:val="16"/>
  </w:num>
  <w:num w:numId="25" w16cid:durableId="450175639">
    <w:abstractNumId w:val="19"/>
  </w:num>
  <w:num w:numId="26" w16cid:durableId="1388800455">
    <w:abstractNumId w:val="20"/>
  </w:num>
  <w:num w:numId="27" w16cid:durableId="2038701846">
    <w:abstractNumId w:val="23"/>
  </w:num>
  <w:num w:numId="28" w16cid:durableId="1572890036">
    <w:abstractNumId w:val="7"/>
  </w:num>
  <w:num w:numId="29" w16cid:durableId="943729370">
    <w:abstractNumId w:val="30"/>
  </w:num>
  <w:num w:numId="30" w16cid:durableId="1869761140">
    <w:abstractNumId w:val="0"/>
  </w:num>
  <w:num w:numId="31" w16cid:durableId="399209946">
    <w:abstractNumId w:val="33"/>
  </w:num>
  <w:num w:numId="32" w16cid:durableId="241989230">
    <w:abstractNumId w:val="24"/>
  </w:num>
  <w:num w:numId="33" w16cid:durableId="450897744">
    <w:abstractNumId w:val="17"/>
  </w:num>
  <w:num w:numId="34" w16cid:durableId="77338121">
    <w:abstractNumId w:val="29"/>
  </w:num>
  <w:num w:numId="35" w16cid:durableId="379596689">
    <w:abstractNumId w:val="31"/>
  </w:num>
  <w:num w:numId="36" w16cid:durableId="1197961738">
    <w:abstractNumId w:val="25"/>
  </w:num>
  <w:num w:numId="37" w16cid:durableId="17572832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BA"/>
    <w:rsid w:val="000133DF"/>
    <w:rsid w:val="000144F3"/>
    <w:rsid w:val="00087477"/>
    <w:rsid w:val="00093460"/>
    <w:rsid w:val="00094C5D"/>
    <w:rsid w:val="000B0CFD"/>
    <w:rsid w:val="000B0F53"/>
    <w:rsid w:val="000B1B02"/>
    <w:rsid w:val="000B2229"/>
    <w:rsid w:val="000C5D19"/>
    <w:rsid w:val="000D57AF"/>
    <w:rsid w:val="000E5B70"/>
    <w:rsid w:val="00102068"/>
    <w:rsid w:val="00107FC3"/>
    <w:rsid w:val="00141995"/>
    <w:rsid w:val="00162740"/>
    <w:rsid w:val="00194E19"/>
    <w:rsid w:val="001E7126"/>
    <w:rsid w:val="001F0A5C"/>
    <w:rsid w:val="001F5873"/>
    <w:rsid w:val="0021395B"/>
    <w:rsid w:val="00232583"/>
    <w:rsid w:val="00235010"/>
    <w:rsid w:val="00237D7A"/>
    <w:rsid w:val="00242CAA"/>
    <w:rsid w:val="00302FBE"/>
    <w:rsid w:val="003124CF"/>
    <w:rsid w:val="0035783E"/>
    <w:rsid w:val="00360AC5"/>
    <w:rsid w:val="00381F23"/>
    <w:rsid w:val="003B408D"/>
    <w:rsid w:val="003B678C"/>
    <w:rsid w:val="003C4018"/>
    <w:rsid w:val="003D7132"/>
    <w:rsid w:val="003E2D5B"/>
    <w:rsid w:val="00476175"/>
    <w:rsid w:val="004A021B"/>
    <w:rsid w:val="004C0D27"/>
    <w:rsid w:val="004E57B3"/>
    <w:rsid w:val="00513AFC"/>
    <w:rsid w:val="00515B9A"/>
    <w:rsid w:val="00543BA3"/>
    <w:rsid w:val="00562212"/>
    <w:rsid w:val="00581958"/>
    <w:rsid w:val="00587638"/>
    <w:rsid w:val="005D4C7F"/>
    <w:rsid w:val="006124BA"/>
    <w:rsid w:val="006134E4"/>
    <w:rsid w:val="006232BD"/>
    <w:rsid w:val="006403AD"/>
    <w:rsid w:val="00680BEA"/>
    <w:rsid w:val="00700CAB"/>
    <w:rsid w:val="00705E4F"/>
    <w:rsid w:val="007114EF"/>
    <w:rsid w:val="00726426"/>
    <w:rsid w:val="007501A8"/>
    <w:rsid w:val="00752CDA"/>
    <w:rsid w:val="0076523E"/>
    <w:rsid w:val="00787E97"/>
    <w:rsid w:val="007921F6"/>
    <w:rsid w:val="007A5C9A"/>
    <w:rsid w:val="007F1A7F"/>
    <w:rsid w:val="00806250"/>
    <w:rsid w:val="00815AB0"/>
    <w:rsid w:val="00826226"/>
    <w:rsid w:val="00826454"/>
    <w:rsid w:val="008317F8"/>
    <w:rsid w:val="008401A7"/>
    <w:rsid w:val="008576FE"/>
    <w:rsid w:val="0086310F"/>
    <w:rsid w:val="008639A7"/>
    <w:rsid w:val="0086533A"/>
    <w:rsid w:val="00874060"/>
    <w:rsid w:val="008C5652"/>
    <w:rsid w:val="008C68FB"/>
    <w:rsid w:val="008D0008"/>
    <w:rsid w:val="008D46AA"/>
    <w:rsid w:val="009038D5"/>
    <w:rsid w:val="009341AC"/>
    <w:rsid w:val="00940C3E"/>
    <w:rsid w:val="00941718"/>
    <w:rsid w:val="00960107"/>
    <w:rsid w:val="00971EA5"/>
    <w:rsid w:val="009779E2"/>
    <w:rsid w:val="009A42F2"/>
    <w:rsid w:val="009B4C56"/>
    <w:rsid w:val="009C77D0"/>
    <w:rsid w:val="009E6683"/>
    <w:rsid w:val="00A01997"/>
    <w:rsid w:val="00A21263"/>
    <w:rsid w:val="00A30FEA"/>
    <w:rsid w:val="00A44CBE"/>
    <w:rsid w:val="00A74C20"/>
    <w:rsid w:val="00A75213"/>
    <w:rsid w:val="00A87AAA"/>
    <w:rsid w:val="00AA3D51"/>
    <w:rsid w:val="00B1584F"/>
    <w:rsid w:val="00B3298C"/>
    <w:rsid w:val="00B77719"/>
    <w:rsid w:val="00B77C95"/>
    <w:rsid w:val="00BD539D"/>
    <w:rsid w:val="00BF351D"/>
    <w:rsid w:val="00C04227"/>
    <w:rsid w:val="00C23543"/>
    <w:rsid w:val="00C30D86"/>
    <w:rsid w:val="00C47633"/>
    <w:rsid w:val="00C65A87"/>
    <w:rsid w:val="00C93758"/>
    <w:rsid w:val="00CA555C"/>
    <w:rsid w:val="00CB4A56"/>
    <w:rsid w:val="00CC42DC"/>
    <w:rsid w:val="00CE209C"/>
    <w:rsid w:val="00CF4E94"/>
    <w:rsid w:val="00CF539E"/>
    <w:rsid w:val="00CF7D09"/>
    <w:rsid w:val="00D033E3"/>
    <w:rsid w:val="00D0743F"/>
    <w:rsid w:val="00D403C4"/>
    <w:rsid w:val="00D40685"/>
    <w:rsid w:val="00D40FD4"/>
    <w:rsid w:val="00DC3F72"/>
    <w:rsid w:val="00DD5F5B"/>
    <w:rsid w:val="00DE59C4"/>
    <w:rsid w:val="00E00858"/>
    <w:rsid w:val="00E25099"/>
    <w:rsid w:val="00E72BA3"/>
    <w:rsid w:val="00E95924"/>
    <w:rsid w:val="00EB2826"/>
    <w:rsid w:val="00EB5E63"/>
    <w:rsid w:val="00F46FAF"/>
    <w:rsid w:val="00F81A14"/>
    <w:rsid w:val="00FA4068"/>
    <w:rsid w:val="00FA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DF5CA4"/>
  <w15:chartTrackingRefBased/>
  <w15:docId w15:val="{7E3992FC-200D-4CE8-B04B-D90CF722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79E2"/>
    <w:rPr>
      <w:sz w:val="24"/>
      <w:szCs w:val="24"/>
    </w:rPr>
  </w:style>
  <w:style w:type="paragraph" w:styleId="Heading1">
    <w:name w:val="heading 1"/>
    <w:basedOn w:val="Normal"/>
    <w:next w:val="Normal"/>
    <w:link w:val="Heading1Char"/>
    <w:qFormat/>
    <w:rsid w:val="009779E2"/>
    <w:pPr>
      <w:jc w:val="center"/>
      <w:outlineLvl w:val="0"/>
    </w:pPr>
    <w:rPr>
      <w:rFonts w:ascii="Arial" w:hAnsi="Arial" w:cs="Arial"/>
      <w:sz w:val="32"/>
      <w:szCs w:val="32"/>
    </w:rPr>
  </w:style>
  <w:style w:type="paragraph" w:styleId="Heading2">
    <w:name w:val="heading 2"/>
    <w:basedOn w:val="Heading1"/>
    <w:next w:val="Normal"/>
    <w:link w:val="Heading2Char"/>
    <w:unhideWhenUsed/>
    <w:qFormat/>
    <w:rsid w:val="009779E2"/>
    <w:pPr>
      <w:jc w:val="left"/>
      <w:outlineLvl w:val="1"/>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sSub-section">
    <w:name w:val="Rules: Sub-section"/>
    <w:basedOn w:val="Normal"/>
    <w:rsid w:val="00232583"/>
    <w:pPr>
      <w:ind w:left="720" w:hanging="360"/>
      <w:jc w:val="both"/>
    </w:pPr>
    <w:rPr>
      <w:sz w:val="22"/>
      <w:szCs w:val="20"/>
    </w:rPr>
  </w:style>
  <w:style w:type="character" w:styleId="Hyperlink">
    <w:name w:val="Hyperlink"/>
    <w:rsid w:val="00232583"/>
    <w:rPr>
      <w:color w:val="0000FF"/>
      <w:u w:val="single"/>
    </w:rPr>
  </w:style>
  <w:style w:type="paragraph" w:styleId="Header">
    <w:name w:val="header"/>
    <w:basedOn w:val="Normal"/>
    <w:rsid w:val="00237D7A"/>
    <w:pPr>
      <w:tabs>
        <w:tab w:val="center" w:pos="4320"/>
        <w:tab w:val="right" w:pos="8640"/>
      </w:tabs>
    </w:pPr>
  </w:style>
  <w:style w:type="paragraph" w:styleId="Footer">
    <w:name w:val="footer"/>
    <w:basedOn w:val="Normal"/>
    <w:rsid w:val="00237D7A"/>
    <w:pPr>
      <w:tabs>
        <w:tab w:val="center" w:pos="4320"/>
        <w:tab w:val="right" w:pos="8640"/>
      </w:tabs>
    </w:pPr>
  </w:style>
  <w:style w:type="paragraph" w:styleId="BalloonText">
    <w:name w:val="Balloon Text"/>
    <w:basedOn w:val="Normal"/>
    <w:semiHidden/>
    <w:rsid w:val="009341AC"/>
    <w:rPr>
      <w:rFonts w:ascii="Tahoma" w:hAnsi="Tahoma" w:cs="Tahoma"/>
      <w:sz w:val="16"/>
      <w:szCs w:val="16"/>
    </w:rPr>
  </w:style>
  <w:style w:type="character" w:customStyle="1" w:styleId="Heading1Char">
    <w:name w:val="Heading 1 Char"/>
    <w:link w:val="Heading1"/>
    <w:rsid w:val="009779E2"/>
    <w:rPr>
      <w:rFonts w:ascii="Arial" w:hAnsi="Arial" w:cs="Arial"/>
      <w:sz w:val="32"/>
      <w:szCs w:val="32"/>
    </w:rPr>
  </w:style>
  <w:style w:type="table" w:styleId="TableGrid">
    <w:name w:val="Table Grid"/>
    <w:basedOn w:val="TableNormal"/>
    <w:rsid w:val="00831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E19"/>
    <w:pPr>
      <w:ind w:left="720"/>
      <w:contextualSpacing/>
    </w:pPr>
    <w:rPr>
      <w:rFonts w:ascii="Calibri" w:eastAsia="Calibri" w:hAnsi="Calibri"/>
      <w:sz w:val="22"/>
      <w:szCs w:val="22"/>
    </w:rPr>
  </w:style>
  <w:style w:type="character" w:styleId="UnresolvedMention">
    <w:name w:val="Unresolved Mention"/>
    <w:uiPriority w:val="99"/>
    <w:semiHidden/>
    <w:unhideWhenUsed/>
    <w:rsid w:val="00A44CBE"/>
    <w:rPr>
      <w:color w:val="605E5C"/>
      <w:shd w:val="clear" w:color="auto" w:fill="E1DFDD"/>
    </w:rPr>
  </w:style>
  <w:style w:type="character" w:styleId="CommentReference">
    <w:name w:val="annotation reference"/>
    <w:uiPriority w:val="99"/>
    <w:unhideWhenUsed/>
    <w:rsid w:val="00874060"/>
    <w:rPr>
      <w:sz w:val="16"/>
      <w:szCs w:val="16"/>
    </w:rPr>
  </w:style>
  <w:style w:type="paragraph" w:styleId="CommentText">
    <w:name w:val="annotation text"/>
    <w:basedOn w:val="Normal"/>
    <w:link w:val="CommentTextChar"/>
    <w:uiPriority w:val="99"/>
    <w:unhideWhenUsed/>
    <w:rsid w:val="00874060"/>
    <w:rPr>
      <w:rFonts w:ascii="Calibri" w:eastAsia="Calibri" w:hAnsi="Calibri"/>
      <w:sz w:val="20"/>
      <w:szCs w:val="20"/>
    </w:rPr>
  </w:style>
  <w:style w:type="character" w:customStyle="1" w:styleId="CommentTextChar">
    <w:name w:val="Comment Text Char"/>
    <w:link w:val="CommentText"/>
    <w:uiPriority w:val="99"/>
    <w:rsid w:val="00874060"/>
    <w:rPr>
      <w:rFonts w:ascii="Calibri" w:eastAsia="Calibri" w:hAnsi="Calibri"/>
    </w:rPr>
  </w:style>
  <w:style w:type="character" w:customStyle="1" w:styleId="Heading2Char">
    <w:name w:val="Heading 2 Char"/>
    <w:basedOn w:val="DefaultParagraphFont"/>
    <w:link w:val="Heading2"/>
    <w:rsid w:val="009779E2"/>
    <w:rPr>
      <w:rFonts w:ascii="Arial" w:hAnsi="Arial" w:cs="Arial"/>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22-02-10/pdf/2022-02653.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pa.gov/ground-level-ozone-pollution/clean-air-act-section-176a-petition-main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ne.gilbert@maine.gov" TargetMode="External"/><Relationship Id="rId5" Type="http://schemas.openxmlformats.org/officeDocument/2006/relationships/footnotes" Target="footnotes.xml"/><Relationship Id="rId10" Type="http://schemas.openxmlformats.org/officeDocument/2006/relationships/hyperlink" Target="mailto:lynn.muzzey@maine.gov" TargetMode="External"/><Relationship Id="rId4" Type="http://schemas.openxmlformats.org/officeDocument/2006/relationships/webSettings" Target="webSettings.xml"/><Relationship Id="rId9" Type="http://schemas.openxmlformats.org/officeDocument/2006/relationships/hyperlink" Target="https://www.maine.gov/sos/cec/rules/06/chaps06.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1058</Words>
  <Characters>6037</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Guidance for complying with Chapter 149, General Permit for Non-Metallic Mineral Processing Plants</vt:lpstr>
    </vt:vector>
  </TitlesOfParts>
  <Company>Dept. of Health and Human Services</Company>
  <LinksUpToDate>false</LinksUpToDate>
  <CharactersWithSpaces>7081</CharactersWithSpaces>
  <SharedDoc>false</SharedDoc>
  <HLinks>
    <vt:vector size="30" baseType="variant">
      <vt:variant>
        <vt:i4>4128850</vt:i4>
      </vt:variant>
      <vt:variant>
        <vt:i4>12</vt:i4>
      </vt:variant>
      <vt:variant>
        <vt:i4>0</vt:i4>
      </vt:variant>
      <vt:variant>
        <vt:i4>5</vt:i4>
      </vt:variant>
      <vt:variant>
        <vt:lpwstr>mailto:jane.gilbert@maine.gov</vt:lpwstr>
      </vt:variant>
      <vt:variant>
        <vt:lpwstr/>
      </vt:variant>
      <vt:variant>
        <vt:i4>4718625</vt:i4>
      </vt:variant>
      <vt:variant>
        <vt:i4>9</vt:i4>
      </vt:variant>
      <vt:variant>
        <vt:i4>0</vt:i4>
      </vt:variant>
      <vt:variant>
        <vt:i4>5</vt:i4>
      </vt:variant>
      <vt:variant>
        <vt:lpwstr>mailto:lynn.muzzey@maine.gov</vt:lpwstr>
      </vt:variant>
      <vt:variant>
        <vt:lpwstr/>
      </vt:variant>
      <vt:variant>
        <vt:i4>6815792</vt:i4>
      </vt:variant>
      <vt:variant>
        <vt:i4>6</vt:i4>
      </vt:variant>
      <vt:variant>
        <vt:i4>0</vt:i4>
      </vt:variant>
      <vt:variant>
        <vt:i4>5</vt:i4>
      </vt:variant>
      <vt:variant>
        <vt:lpwstr>https://www.maine.gov/sos/cec/rules/06/chaps06.htm</vt:lpwstr>
      </vt:variant>
      <vt:variant>
        <vt:lpwstr/>
      </vt:variant>
      <vt:variant>
        <vt:i4>4259928</vt:i4>
      </vt:variant>
      <vt:variant>
        <vt:i4>3</vt:i4>
      </vt:variant>
      <vt:variant>
        <vt:i4>0</vt:i4>
      </vt:variant>
      <vt:variant>
        <vt:i4>5</vt:i4>
      </vt:variant>
      <vt:variant>
        <vt:lpwstr>https://www.govinfo.gov/content/pkg/FR-2022-02-10/pdf/2022-02653.pdf</vt:lpwstr>
      </vt:variant>
      <vt:variant>
        <vt:lpwstr/>
      </vt:variant>
      <vt:variant>
        <vt:i4>7405615</vt:i4>
      </vt:variant>
      <vt:variant>
        <vt:i4>0</vt:i4>
      </vt:variant>
      <vt:variant>
        <vt:i4>0</vt:i4>
      </vt:variant>
      <vt:variant>
        <vt:i4>5</vt:i4>
      </vt:variant>
      <vt:variant>
        <vt:lpwstr>https://www.epa.gov/ground-level-ozone-pollution/clean-air-act-section-176a-petition-maine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complying with Chapter 149, General Permit for Non-Metallic Mineral Processing Plants</dc:title>
  <dc:subject/>
  <dc:creator>Lynn Ross</dc:creator>
  <cp:keywords/>
  <cp:lastModifiedBy>Muzzey, Lynn</cp:lastModifiedBy>
  <cp:revision>4</cp:revision>
  <cp:lastPrinted>2016-11-22T19:01:00Z</cp:lastPrinted>
  <dcterms:created xsi:type="dcterms:W3CDTF">2026-03-17T19:16:00Z</dcterms:created>
  <dcterms:modified xsi:type="dcterms:W3CDTF">2026-03-17T19:23:00Z</dcterms:modified>
</cp:coreProperties>
</file>